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DF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附件4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</w:p>
    <w:p w14:paraId="68898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宁波城市职业技术学院基础课教学部高质量发展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评价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指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标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试行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）</w:t>
      </w:r>
    </w:p>
    <w:p w14:paraId="5C0E3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</w:pP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927"/>
        <w:gridCol w:w="9494"/>
        <w:gridCol w:w="1521"/>
      </w:tblGrid>
      <w:tr w14:paraId="0F196276">
        <w:trPr>
          <w:trHeight w:val="90" w:hRule="atLeast"/>
          <w:tblHeader/>
        </w:trPr>
        <w:tc>
          <w:tcPr>
            <w:tcW w:w="431" w:type="pct"/>
            <w:vAlign w:val="center"/>
          </w:tcPr>
          <w:p w14:paraId="433B5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</w:rPr>
              <w:t>一级指标</w:t>
            </w:r>
          </w:p>
        </w:tc>
        <w:tc>
          <w:tcPr>
            <w:tcW w:w="680" w:type="pct"/>
            <w:vAlign w:val="center"/>
          </w:tcPr>
          <w:p w14:paraId="560F6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观测点</w:t>
            </w:r>
          </w:p>
        </w:tc>
        <w:tc>
          <w:tcPr>
            <w:tcW w:w="3351" w:type="pct"/>
            <w:vAlign w:val="center"/>
          </w:tcPr>
          <w:p w14:paraId="313A3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</w:rPr>
              <w:t xml:space="preserve">赋分标准  </w:t>
            </w:r>
          </w:p>
        </w:tc>
        <w:tc>
          <w:tcPr>
            <w:tcW w:w="536" w:type="pct"/>
            <w:vAlign w:val="center"/>
          </w:tcPr>
          <w:p w14:paraId="20845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none"/>
              </w:rPr>
              <w:t>评分部门</w:t>
            </w:r>
          </w:p>
        </w:tc>
      </w:tr>
      <w:tr w14:paraId="04E2F89E">
        <w:trPr>
          <w:trHeight w:val="90" w:hRule="atLeast"/>
        </w:trPr>
        <w:tc>
          <w:tcPr>
            <w:tcW w:w="431" w:type="pct"/>
            <w:vMerge w:val="restart"/>
          </w:tcPr>
          <w:p w14:paraId="3F5D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1CFAB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3239D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0014E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0C186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1A06B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051AD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7DA90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5D99B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050E4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300E3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58B7F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1.教学质量与水平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（30分）</w:t>
            </w: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26ED9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 w:bidi="ar-SA"/>
              </w:rPr>
              <w:t>基础性指标</w:t>
            </w:r>
          </w:p>
        </w:tc>
      </w:tr>
      <w:tr w14:paraId="0CF5A85A">
        <w:trPr>
          <w:trHeight w:val="90" w:hRule="atLeast"/>
        </w:trPr>
        <w:tc>
          <w:tcPr>
            <w:tcW w:w="431" w:type="pct"/>
            <w:vMerge w:val="continue"/>
          </w:tcPr>
          <w:p w14:paraId="08597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E3D0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课程应用与管理</w:t>
            </w:r>
          </w:p>
          <w:p w14:paraId="2DDAD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1分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top"/>
          </w:tcPr>
          <w:p w14:paraId="225A0A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建有省级及以上在线精品课程和一流核心课程并持续运用的，评价合格得0.5分。</w:t>
            </w:r>
          </w:p>
          <w:p w14:paraId="1E7344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在智慧职教平台建成并在MOOC学院开课的慕课占已建成慕课比例的40%或较往年增长10%的，得0.5分；占已建成慕课比例的30%或较往年增长5%的，得0.3分；其余不得分。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5965A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教务处（课程中心）</w:t>
            </w:r>
          </w:p>
        </w:tc>
      </w:tr>
      <w:tr w14:paraId="6A871B1A">
        <w:tc>
          <w:tcPr>
            <w:tcW w:w="431" w:type="pct"/>
            <w:vMerge w:val="continue"/>
          </w:tcPr>
          <w:p w14:paraId="7ABF6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545D6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教材管理</w:t>
            </w:r>
          </w:p>
          <w:p w14:paraId="308B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top"/>
          </w:tcPr>
          <w:p w14:paraId="2ABC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根据当年教材选用情况进行赋分。所有应订教材课程选用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省级及以上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规划教材比例达到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%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或较往年增长10%的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，得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分；选用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省级及以上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规划教材比例达到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%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或较往年增长5%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的，得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分；教材（讲义）选用未覆盖当年所有应订教材课程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等其余情况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不得分。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575B7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739F8585">
        <w:tc>
          <w:tcPr>
            <w:tcW w:w="431" w:type="pct"/>
            <w:vMerge w:val="continue"/>
          </w:tcPr>
          <w:p w14:paraId="387F3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79EA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体质健康</w:t>
            </w:r>
          </w:p>
          <w:p w14:paraId="63ED6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（6分）</w:t>
            </w:r>
          </w:p>
        </w:tc>
        <w:tc>
          <w:tcPr>
            <w:tcW w:w="3351" w:type="pct"/>
            <w:shd w:val="clear" w:color="auto" w:fill="auto"/>
            <w:vAlign w:val="top"/>
          </w:tcPr>
          <w:p w14:paraId="51DDE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省抽测合格率与优良率学校排名均在全省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30%得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有一项在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全省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前30%得4分，一项比上一年有进步得2分（就高原则）；两项均在全省后30%不得分，其余得1分。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5973A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785D516D">
        <w:trPr>
          <w:trHeight w:val="250" w:hRule="atLeast"/>
        </w:trPr>
        <w:tc>
          <w:tcPr>
            <w:tcW w:w="431" w:type="pct"/>
            <w:vMerge w:val="continue"/>
          </w:tcPr>
          <w:p w14:paraId="1B06E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5F8C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日常教学管理</w:t>
            </w:r>
          </w:p>
          <w:p w14:paraId="00D3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6634E3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根据当年学院日常教学运行管理情况，按格次赋分法赋分。发生教学事故，每人次扣0.5分，直至扣完。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3418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1F3D1065">
        <w:tc>
          <w:tcPr>
            <w:tcW w:w="431" w:type="pct"/>
            <w:vMerge w:val="continue"/>
          </w:tcPr>
          <w:p w14:paraId="07FCD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4779B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发展性指标</w:t>
            </w:r>
          </w:p>
        </w:tc>
      </w:tr>
      <w:tr w14:paraId="6A9FA6A6">
        <w:trPr>
          <w:trHeight w:val="90" w:hRule="atLeast"/>
        </w:trPr>
        <w:tc>
          <w:tcPr>
            <w:tcW w:w="431" w:type="pct"/>
            <w:vMerge w:val="continue"/>
          </w:tcPr>
          <w:p w14:paraId="3F4D5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264B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课程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建设成效</w:t>
            </w:r>
          </w:p>
          <w:p w14:paraId="743AF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3分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top"/>
          </w:tcPr>
          <w:p w14:paraId="060E8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主持在线精品课程、专业教学资源库、虚拟仿真基地建设等，认定省级及以上为A；参与以上项目建设，认定省级及以上为B；主持或参与以上项目建设，认定市级为C；其余不得分。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4694B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教务处（课程中心）</w:t>
            </w:r>
          </w:p>
        </w:tc>
      </w:tr>
      <w:tr w14:paraId="5DAA7F1F">
        <w:trPr>
          <w:trHeight w:val="437" w:hRule="atLeast"/>
        </w:trPr>
        <w:tc>
          <w:tcPr>
            <w:tcW w:w="431" w:type="pct"/>
            <w:vMerge w:val="continue"/>
          </w:tcPr>
          <w:p w14:paraId="7B5E8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7DBF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教材建设</w:t>
            </w:r>
          </w:p>
          <w:p w14:paraId="292AC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4FA7C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:woUserID w:val="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获国家级规划教材建设项目为A；获省级重点教材建设项目2部及以上为B；获校级以上教材建设项目5部及以上为C；其余不得分。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1BED2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</w:tr>
      <w:tr w14:paraId="2E456CD0">
        <w:trPr>
          <w:trHeight w:val="800" w:hRule="atLeast"/>
        </w:trPr>
        <w:tc>
          <w:tcPr>
            <w:tcW w:w="431" w:type="pct"/>
            <w:vMerge w:val="continue"/>
          </w:tcPr>
          <w:p w14:paraId="554E3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38CA5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教学成果与案例</w:t>
            </w:r>
          </w:p>
          <w:p w14:paraId="7089B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3分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419BC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教学成果奖或优秀教材奖获国家级或省级一等奖及以上为A；教学成果奖或优秀教材奖获省级二等奖，教学优秀案例或课程思政教学案例获国家级为B；教学成果奖或优秀教材奖获市级、教学优秀案例或课程思政教学案例获省级为C；其余不得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76D33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3A953A21">
        <w:trPr>
          <w:trHeight w:val="209" w:hRule="atLeast"/>
        </w:trPr>
        <w:tc>
          <w:tcPr>
            <w:tcW w:w="431" w:type="pct"/>
            <w:vMerge w:val="continue"/>
          </w:tcPr>
          <w:p w14:paraId="15532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95CC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指导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学生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比赛</w:t>
            </w:r>
          </w:p>
          <w:p w14:paraId="55433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4分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4515A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依据A类学生技能竞赛获奖情况，按格次赋分法赋分。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62713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5A9FC6A3">
        <w:trPr>
          <w:trHeight w:val="509" w:hRule="atLeast"/>
        </w:trPr>
        <w:tc>
          <w:tcPr>
            <w:tcW w:w="431" w:type="pct"/>
            <w:vMerge w:val="continue"/>
          </w:tcPr>
          <w:p w14:paraId="753E8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2A5E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教学能力比赛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/青年教师教学竞赛</w:t>
            </w:r>
          </w:p>
          <w:p w14:paraId="6778E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12F05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获省级一等奖及以上为A；获省级二、三等奖为B；获市级奖项为C；其余不得分。跨学院组队的分值分配由负责人决定。</w:t>
            </w:r>
          </w:p>
        </w:tc>
        <w:tc>
          <w:tcPr>
            <w:tcW w:w="536" w:type="pct"/>
            <w:shd w:val="clear" w:color="auto" w:fill="auto"/>
            <w:vAlign w:val="top"/>
          </w:tcPr>
          <w:p w14:paraId="29486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教务处（课程中心）/工会</w:t>
            </w:r>
          </w:p>
        </w:tc>
      </w:tr>
      <w:tr w14:paraId="2E128A30">
        <w:trPr>
          <w:trHeight w:val="90" w:hRule="atLeast"/>
        </w:trPr>
        <w:tc>
          <w:tcPr>
            <w:tcW w:w="431" w:type="pct"/>
            <w:vMerge w:val="continue"/>
          </w:tcPr>
          <w:p w14:paraId="37993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7699F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教学改革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14162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教学改革项目获国家级为A；获省级为B；获市级为C；其余不得分。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40373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教务处（课程中心）</w:t>
            </w:r>
          </w:p>
        </w:tc>
      </w:tr>
      <w:tr w14:paraId="21666058">
        <w:trPr>
          <w:trHeight w:val="90" w:hRule="atLeast"/>
        </w:trPr>
        <w:tc>
          <w:tcPr>
            <w:tcW w:w="431" w:type="pct"/>
            <w:vMerge w:val="continue"/>
          </w:tcPr>
          <w:p w14:paraId="3A46E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EF11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现场教学（1分）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6E8C0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现场教学课堂获评优秀为A；其余不得分。</w:t>
            </w:r>
          </w:p>
        </w:tc>
        <w:tc>
          <w:tcPr>
            <w:tcW w:w="536" w:type="pct"/>
            <w:vMerge w:val="continue"/>
            <w:shd w:val="clear" w:color="auto" w:fill="auto"/>
            <w:vAlign w:val="top"/>
          </w:tcPr>
          <w:p w14:paraId="06165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9DA0308">
        <w:trPr>
          <w:trHeight w:val="237" w:hRule="atLeast"/>
        </w:trPr>
        <w:tc>
          <w:tcPr>
            <w:tcW w:w="431" w:type="pct"/>
            <w:vMerge w:val="restart"/>
          </w:tcPr>
          <w:p w14:paraId="190DA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5120C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2C156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4E18B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7A912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01710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4BA9D4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人才贯通培养</w:t>
            </w:r>
          </w:p>
          <w:p w14:paraId="55E153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（19分）</w:t>
            </w: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66D3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 w:bidi="ar-SA"/>
              </w:rPr>
              <w:t>基础性指标</w:t>
            </w:r>
          </w:p>
        </w:tc>
      </w:tr>
      <w:tr w14:paraId="53FA6A76">
        <w:trPr>
          <w:trHeight w:val="614" w:hRule="atLeast"/>
        </w:trPr>
        <w:tc>
          <w:tcPr>
            <w:tcW w:w="431" w:type="pct"/>
            <w:vMerge w:val="continue"/>
          </w:tcPr>
          <w:p w14:paraId="6A19F9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430CF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社团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建设</w:t>
            </w:r>
          </w:p>
          <w:p w14:paraId="0D396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（6分）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0A6C9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在社团建设中（参与评价社团是指所在单位教师以第一指导教师身份指导的社团），当年度五星级社团占基础课教学部参与评价社团数的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40%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及以上得6分；四星级及以上社团占比90%及以上得4分；三星级及以上社团占比100%得2分；其余不得分。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7FC6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团委</w:t>
            </w:r>
          </w:p>
        </w:tc>
      </w:tr>
      <w:tr w14:paraId="4CD8F2C3">
        <w:trPr>
          <w:trHeight w:val="614" w:hRule="atLeast"/>
        </w:trPr>
        <w:tc>
          <w:tcPr>
            <w:tcW w:w="431" w:type="pct"/>
            <w:vMerge w:val="continue"/>
          </w:tcPr>
          <w:p w14:paraId="606FD3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6DF2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构建社区体育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活动体系</w:t>
            </w:r>
          </w:p>
          <w:p w14:paraId="166F2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（4分）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387E6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获得市级及以上具有品牌特色的案例得1分；</w:t>
            </w:r>
          </w:p>
          <w:p w14:paraId="57FF8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有效指导学生开展有一定影响力的体育活动500人次及以上，得1分；</w:t>
            </w:r>
          </w:p>
          <w:p w14:paraId="3E17C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派出20人次及以上指导开展教师体育锻炼活动，得1分；</w:t>
            </w:r>
          </w:p>
          <w:p w14:paraId="1AB26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4.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校外体育实践基地建设，社区共建基地2个及以上且与上一年有增长并持续开展指导工作，得1分；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2E376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学生工作部（学生处）/工会</w:t>
            </w:r>
          </w:p>
        </w:tc>
      </w:tr>
      <w:tr w14:paraId="7E4657F4">
        <w:trPr>
          <w:trHeight w:val="1059" w:hRule="atLeast"/>
        </w:trPr>
        <w:tc>
          <w:tcPr>
            <w:tcW w:w="431" w:type="pct"/>
            <w:vMerge w:val="continue"/>
          </w:tcPr>
          <w:p w14:paraId="6758E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4A8A8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构建美育活动体系</w:t>
            </w:r>
          </w:p>
          <w:p w14:paraId="4CA5A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5分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5E37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获得市级及以上具有品牌特色的案例得1分；</w:t>
            </w:r>
          </w:p>
          <w:p w14:paraId="4EB3B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有效指导学生开展有一定影响力的美育活动500人次及以上，得1分；</w:t>
            </w:r>
          </w:p>
          <w:p w14:paraId="01D43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派出20人次及以上指导开展教师美育活动，得1分；</w:t>
            </w:r>
          </w:p>
          <w:p w14:paraId="27EF22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4.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  <w:t>校外美育实践基地建设，社区共建基地2个及以上且与上一年有增长得1分，持续开展美育活动或指导美育活动得1分。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0C9D0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团委/工会</w:t>
            </w:r>
          </w:p>
        </w:tc>
      </w:tr>
      <w:tr w14:paraId="710D6CA9">
        <w:trPr>
          <w:trHeight w:val="207" w:hRule="atLeast"/>
        </w:trPr>
        <w:tc>
          <w:tcPr>
            <w:tcW w:w="431" w:type="pct"/>
            <w:vMerge w:val="continue"/>
          </w:tcPr>
          <w:p w14:paraId="69015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171A2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发展性指标</w:t>
            </w:r>
          </w:p>
        </w:tc>
      </w:tr>
      <w:tr w14:paraId="7E5BDA5F">
        <w:trPr>
          <w:trHeight w:val="437" w:hRule="atLeast"/>
        </w:trPr>
        <w:tc>
          <w:tcPr>
            <w:tcW w:w="431" w:type="pct"/>
            <w:vMerge w:val="continue"/>
          </w:tcPr>
          <w:p w14:paraId="25562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7508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本人或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指导学生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参加各类竞赛</w:t>
            </w:r>
          </w:p>
          <w:p w14:paraId="32F77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（2分）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78732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在“五育”建设中，教师本人或以第一指导教师身份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  <w:woUserID w:val="1"/>
              </w:rPr>
              <w:t>指导学生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参加由团委组织或推荐的各类竞赛获省级一等奖及以上奖项为A；参加并获得省级其他奖项为B；参加市级竞赛获奖为C；其余不得分。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243C8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团委</w:t>
            </w:r>
          </w:p>
        </w:tc>
      </w:tr>
      <w:tr w14:paraId="53C2B360">
        <w:trPr>
          <w:trHeight w:val="448" w:hRule="atLeast"/>
        </w:trPr>
        <w:tc>
          <w:tcPr>
            <w:tcW w:w="431" w:type="pct"/>
            <w:vMerge w:val="continue"/>
          </w:tcPr>
          <w:p w14:paraId="4282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ABB2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本人或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指导学生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参加各类活动</w:t>
            </w:r>
          </w:p>
          <w:p w14:paraId="7CA8B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（2分）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44387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在“五育”建设中，教师本人或者以第一教师身份指导学生以节目作品等形式，参加省级及以上活动并获奖为A；参加市级并获奖为B；其余不得分。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45D69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7C882E90">
        <w:trPr>
          <w:trHeight w:val="90" w:hRule="atLeast"/>
        </w:trPr>
        <w:tc>
          <w:tcPr>
            <w:tcW w:w="431" w:type="pct"/>
            <w:vMerge w:val="restart"/>
            <w:vAlign w:val="center"/>
          </w:tcPr>
          <w:p w14:paraId="70B13A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社会人员培训及服务终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身学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习</w:t>
            </w:r>
          </w:p>
          <w:p w14:paraId="591D6B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11分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4568" w:type="pct"/>
            <w:gridSpan w:val="3"/>
            <w:vAlign w:val="center"/>
          </w:tcPr>
          <w:p w14:paraId="00273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基础性指标</w:t>
            </w:r>
          </w:p>
        </w:tc>
      </w:tr>
      <w:tr w14:paraId="08C93CAA">
        <w:trPr>
          <w:trHeight w:val="90" w:hRule="atLeast"/>
        </w:trPr>
        <w:tc>
          <w:tcPr>
            <w:tcW w:w="431" w:type="pct"/>
            <w:vMerge w:val="continue"/>
            <w:vAlign w:val="center"/>
          </w:tcPr>
          <w:p w14:paraId="3A24A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5325E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培训到款额</w:t>
            </w:r>
          </w:p>
          <w:p w14:paraId="50E16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（5分）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3795B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当年度社会培训到款额①较上一年有增长，且达到全校平均值及以上得5分、达到平均值的80%及以上得4分、达到平均值的70%及以上得3分、达到平均值的60%及以上得2分、其他得1分。或②完成继续教育学院下达指标的得2分，超过指标10%的得3分 ，超过指标20%的得4分，超过指标30%的得5分。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00FBA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科研处（地方服务合作处）</w:t>
            </w:r>
          </w:p>
        </w:tc>
      </w:tr>
      <w:tr w14:paraId="5851B60B">
        <w:trPr>
          <w:trHeight w:val="475" w:hRule="atLeast"/>
        </w:trPr>
        <w:tc>
          <w:tcPr>
            <w:tcW w:w="431" w:type="pct"/>
            <w:vMerge w:val="continue"/>
            <w:vAlign w:val="center"/>
          </w:tcPr>
          <w:p w14:paraId="396B5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57F5F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培训工作</w:t>
            </w:r>
          </w:p>
          <w:p w14:paraId="5EBB4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（4分）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6EE1A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完成年度职业教育培训工作任务目标数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较上一年的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0%及以上得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分；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完成目标数的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%～1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%（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含110%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）得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分；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  <w:woUserID w:val="1"/>
              </w:rPr>
              <w:t>其余得1分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  <w:woUserID w:val="1"/>
              </w:rPr>
              <w:t>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6D529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326DFBF3">
        <w:trPr>
          <w:trHeight w:val="90" w:hRule="atLeast"/>
        </w:trPr>
        <w:tc>
          <w:tcPr>
            <w:tcW w:w="431" w:type="pct"/>
            <w:vMerge w:val="continue"/>
            <w:vAlign w:val="center"/>
          </w:tcPr>
          <w:p w14:paraId="21FFB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4DEAA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 w:bidi="ar-SA"/>
              </w:rPr>
              <w:t>发展性指标</w:t>
            </w:r>
          </w:p>
        </w:tc>
      </w:tr>
      <w:tr w14:paraId="181713D4">
        <w:trPr>
          <w:trHeight w:val="472" w:hRule="atLeast"/>
        </w:trPr>
        <w:tc>
          <w:tcPr>
            <w:tcW w:w="431" w:type="pct"/>
            <w:vMerge w:val="continue"/>
            <w:vAlign w:val="center"/>
          </w:tcPr>
          <w:p w14:paraId="1E305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7A091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社区和老年教育</w:t>
            </w:r>
          </w:p>
          <w:p w14:paraId="2831E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（2分）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3CF84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开展社区教育（老年教育）服务或面向中小学生劳动和职业教育为2分；其余不得分。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ADC7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科研处（地方服务合作处）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/团委</w:t>
            </w:r>
          </w:p>
        </w:tc>
      </w:tr>
      <w:tr w14:paraId="0AE5FB94">
        <w:trPr>
          <w:trHeight w:val="90" w:hRule="atLeast"/>
        </w:trPr>
        <w:tc>
          <w:tcPr>
            <w:tcW w:w="431" w:type="pct"/>
            <w:vMerge w:val="restart"/>
          </w:tcPr>
          <w:p w14:paraId="66715E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  <w:p w14:paraId="3F54CA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技术研发服务</w:t>
            </w:r>
          </w:p>
          <w:p w14:paraId="3B9B78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14分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4568" w:type="pct"/>
            <w:gridSpan w:val="3"/>
            <w:vAlign w:val="center"/>
          </w:tcPr>
          <w:p w14:paraId="580AF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基础性指标</w:t>
            </w:r>
          </w:p>
        </w:tc>
      </w:tr>
      <w:tr w14:paraId="458ED029">
        <w:trPr>
          <w:trHeight w:val="90" w:hRule="atLeast"/>
        </w:trPr>
        <w:tc>
          <w:tcPr>
            <w:tcW w:w="431" w:type="pct"/>
            <w:vMerge w:val="continue"/>
          </w:tcPr>
          <w:p w14:paraId="5E8958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BC9C000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科研到账经费</w:t>
            </w:r>
          </w:p>
          <w:p w14:paraId="7D0DAC76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326C5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纵横向项目到款总额；当年人均到款总额较上一年增长10%及以上得5分；增长8%及以得4分；增长5%及以上得3分；增长3%及以上得2分；有增长得1分；其余不得分。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纵向科研项目到款额；当年纵向科研项目人均到款额较上一年增长10%及以上得5分；增长8%及以得4分；增长5%及以上得3分；增长3%及以上得2分；有增长得1分；其余不得分。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横向技术服务到款额；当年横向科研项目到款额人均到款额较上一年增长10%及以上得5分；增长8%及以上得4分；增长5%及以上得3分；增长3%及以上得2分；有增长得1分；其余不得分。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说明：纵横向总量或任意一项到款额达到学校总量或单项总额的的30%，可得此项满分。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23D1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科研处（地方服务合作处）</w:t>
            </w:r>
          </w:p>
        </w:tc>
      </w:tr>
      <w:tr w14:paraId="3D4C4C00">
        <w:trPr>
          <w:trHeight w:val="90" w:hRule="atLeast"/>
        </w:trPr>
        <w:tc>
          <w:tcPr>
            <w:tcW w:w="431" w:type="pct"/>
            <w:vMerge w:val="continue"/>
          </w:tcPr>
          <w:p w14:paraId="6485E5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5D858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发展性指标</w:t>
            </w:r>
          </w:p>
        </w:tc>
      </w:tr>
      <w:tr w14:paraId="23BF34CE">
        <w:trPr>
          <w:trHeight w:val="773" w:hRule="atLeast"/>
        </w:trPr>
        <w:tc>
          <w:tcPr>
            <w:tcW w:w="431" w:type="pct"/>
            <w:vMerge w:val="continue"/>
          </w:tcPr>
          <w:p w14:paraId="38640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B962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科研项目及成果</w:t>
            </w:r>
          </w:p>
          <w:p w14:paraId="65DF4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（4分）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27C02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省部级及以上科研成果奖一等奖3分；二等奖2分； 三等奖1分；省部级及以上课题立项0.5分/项；发表核心论文或出版中央级出版社著作0. 5分/篇（部）；省委、省政府及以上领导肯定性批示0.5分/项，获市委、市政府领导肯定性批示获0.3分/项；优秀案例获评省级及以上0.2/篇，市级及以上0.1/篇。（以上成果由本校主持及第一完成人）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2BECC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科研处（地方服务合作处）</w:t>
            </w:r>
          </w:p>
          <w:p w14:paraId="2D342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7CE8032F">
        <w:trPr>
          <w:trHeight w:val="90" w:hRule="atLeast"/>
        </w:trPr>
        <w:tc>
          <w:tcPr>
            <w:tcW w:w="431" w:type="pct"/>
            <w:vMerge w:val="restart"/>
            <w:vAlign w:val="center"/>
          </w:tcPr>
          <w:p w14:paraId="0815DA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师资队伍建设</w:t>
            </w:r>
          </w:p>
          <w:p w14:paraId="28435A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67247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none"/>
                <w:lang w:val="en-US" w:eastAsia="zh-CN" w:bidi="ar-SA"/>
              </w:rPr>
              <w:t>基础性指标</w:t>
            </w:r>
          </w:p>
        </w:tc>
      </w:tr>
      <w:tr w14:paraId="283CDC10">
        <w:trPr>
          <w:trHeight w:val="90" w:hRule="atLeast"/>
        </w:trPr>
        <w:tc>
          <w:tcPr>
            <w:tcW w:w="431" w:type="pct"/>
            <w:vMerge w:val="continue"/>
          </w:tcPr>
          <w:p w14:paraId="19459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vAlign w:val="center"/>
          </w:tcPr>
          <w:p w14:paraId="186B7864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教师专业实践</w:t>
            </w:r>
          </w:p>
          <w:p w14:paraId="02940471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（4分）</w:t>
            </w:r>
          </w:p>
        </w:tc>
        <w:tc>
          <w:tcPr>
            <w:tcW w:w="3351" w:type="pct"/>
            <w:vAlign w:val="center"/>
          </w:tcPr>
          <w:p w14:paraId="406EE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当年度教师下企业（街道/村社等）实践天数达到一个月及以上的教师占所属单位专任教师数的100%得4分，90%及以上得3分，80%及以上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得1分，其余不得分。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17B4D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人事处（教师工作部）</w:t>
            </w:r>
          </w:p>
        </w:tc>
      </w:tr>
      <w:tr w14:paraId="6F6C6375">
        <w:trPr>
          <w:trHeight w:val="377" w:hRule="atLeast"/>
        </w:trPr>
        <w:tc>
          <w:tcPr>
            <w:tcW w:w="431" w:type="pct"/>
            <w:vMerge w:val="continue"/>
          </w:tcPr>
          <w:p w14:paraId="4D430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4ABD33A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教师培训</w:t>
            </w:r>
          </w:p>
          <w:p w14:paraId="59CBC25F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（2分）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029D5A7F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本年度按上级（国家、省、市）要求组织本学院教师参加培训得1分。</w:t>
            </w:r>
          </w:p>
          <w:p w14:paraId="719EDD0E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能按时获得培训证书并及时上传人事系统得1分。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219F8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</w:tr>
      <w:tr w14:paraId="3C8A0F2C">
        <w:trPr>
          <w:trHeight w:val="228" w:hRule="atLeast"/>
        </w:trPr>
        <w:tc>
          <w:tcPr>
            <w:tcW w:w="431" w:type="pct"/>
            <w:vMerge w:val="continue"/>
          </w:tcPr>
          <w:p w14:paraId="179FE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12F0A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发展性指标</w:t>
            </w:r>
          </w:p>
        </w:tc>
      </w:tr>
      <w:tr w14:paraId="6EC4707F">
        <w:trPr>
          <w:trHeight w:val="90" w:hRule="atLeast"/>
        </w:trPr>
        <w:tc>
          <w:tcPr>
            <w:tcW w:w="431" w:type="pct"/>
            <w:vMerge w:val="continue"/>
          </w:tcPr>
          <w:p w14:paraId="32BC0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7342C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“影响力”教师队伍建设</w:t>
            </w:r>
            <w:r>
              <w:rPr>
                <w:rFonts w:hint="eastAsia" w:ascii="仿宋" w:hAnsi="仿宋" w:eastAsia="仿宋" w:cs="仿宋"/>
                <w:b w:val="0"/>
                <w:bCs w:val="0"/>
                <w:strike w:val="0"/>
                <w:dstrike w:val="0"/>
                <w:color w:val="auto"/>
                <w:sz w:val="21"/>
                <w:szCs w:val="21"/>
                <w:highlight w:val="none"/>
                <w:u w:val="none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trike w:val="0"/>
                <w:dstrike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trike w:val="0"/>
                <w:dstrike w:val="0"/>
                <w:color w:val="auto"/>
                <w:sz w:val="21"/>
                <w:szCs w:val="21"/>
                <w:highlight w:val="none"/>
                <w:u w:val="none"/>
              </w:rPr>
              <w:t>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1135B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本年度培养高水平教师或教师团队（1分）：获国家级荣誉1项或省级荣誉2项及以上为A；省级荣誉1项为B；市级荣誉为C；其余不得分。</w:t>
            </w:r>
          </w:p>
          <w:p w14:paraId="2A19D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本年度教师执裁（1分）：省级比赛5人次及以上或市级比赛10人次及以上为A；省级3-4人次或市级5-9人次为B；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其余不得分。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77727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人事处（教师工作部）</w:t>
            </w:r>
          </w:p>
        </w:tc>
      </w:tr>
      <w:tr w14:paraId="29BE36E0">
        <w:trPr>
          <w:trHeight w:val="90" w:hRule="atLeast"/>
        </w:trPr>
        <w:tc>
          <w:tcPr>
            <w:tcW w:w="431" w:type="pct"/>
            <w:vMerge w:val="continue"/>
          </w:tcPr>
          <w:p w14:paraId="5FD18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D8977BA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人才引培</w:t>
            </w:r>
          </w:p>
          <w:p w14:paraId="399580D4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（1分）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13227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本年度引培高学历、高层次、高技能等高水平教师2名及以上为A；1名为B；其余不得分。</w:t>
            </w: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7D3E6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</w:tr>
      <w:tr w14:paraId="69FCA7C7">
        <w:trPr>
          <w:trHeight w:val="90" w:hRule="atLeast"/>
        </w:trPr>
        <w:tc>
          <w:tcPr>
            <w:tcW w:w="431" w:type="pct"/>
            <w:vMerge w:val="continue"/>
          </w:tcPr>
          <w:p w14:paraId="0C6EF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vAlign w:val="center"/>
          </w:tcPr>
          <w:p w14:paraId="104147FA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团队建设</w:t>
            </w:r>
          </w:p>
          <w:p w14:paraId="5B97EA59">
            <w:pPr>
              <w:keepNext w:val="0"/>
              <w:keepLines w:val="0"/>
              <w:pageBreakBefore w:val="0"/>
              <w:widowControl w:val="0"/>
              <w:tabs>
                <w:tab w:val="left" w:pos="7088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（1分）</w:t>
            </w:r>
          </w:p>
        </w:tc>
        <w:tc>
          <w:tcPr>
            <w:tcW w:w="3351" w:type="pct"/>
            <w:vAlign w:val="center"/>
          </w:tcPr>
          <w:p w14:paraId="764F7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本年度培育国家级教师创新团队（含名工作室等）1个及以上或省级2个及以上为A；省级1个为B；市级为C；其余不得分。</w:t>
            </w:r>
          </w:p>
          <w:p w14:paraId="3282F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  <w:p w14:paraId="33714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536" w:type="pct"/>
            <w:vMerge w:val="continue"/>
            <w:shd w:val="clear" w:color="auto" w:fill="auto"/>
            <w:vAlign w:val="center"/>
          </w:tcPr>
          <w:p w14:paraId="30092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419ADF8">
        <w:trPr>
          <w:trHeight w:val="90" w:hRule="atLeast"/>
        </w:trPr>
        <w:tc>
          <w:tcPr>
            <w:tcW w:w="431" w:type="pct"/>
            <w:vMerge w:val="restart"/>
            <w:vAlign w:val="center"/>
          </w:tcPr>
          <w:p w14:paraId="03A74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6.国际化办学</w:t>
            </w:r>
          </w:p>
          <w:p w14:paraId="1E845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5分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4568" w:type="pct"/>
            <w:gridSpan w:val="3"/>
            <w:vAlign w:val="center"/>
          </w:tcPr>
          <w:p w14:paraId="1A9F1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基础性指标</w:t>
            </w:r>
          </w:p>
        </w:tc>
      </w:tr>
      <w:tr w14:paraId="263DED2C">
        <w:trPr>
          <w:trHeight w:val="283" w:hRule="atLeast"/>
        </w:trPr>
        <w:tc>
          <w:tcPr>
            <w:tcW w:w="431" w:type="pct"/>
            <w:vMerge w:val="continue"/>
            <w:vAlign w:val="center"/>
          </w:tcPr>
          <w:p w14:paraId="4FD61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76921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师生国际交流</w:t>
            </w:r>
          </w:p>
          <w:p w14:paraId="0B939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62F28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建设面向来华留学生的国际人文交流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/研学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课程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0.5分/门；建成并实际应用1分/门。</w:t>
            </w:r>
          </w:p>
          <w:p w14:paraId="1FBDD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派出师资到我校境外办学机构任教得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。</w:t>
            </w:r>
          </w:p>
          <w:p w14:paraId="382AB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构建“中文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+技能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”文化体验中心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/研学基地0.5分/个，最高1分。</w:t>
            </w:r>
          </w:p>
          <w:p w14:paraId="24EEE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4.独立联络开展国际文化交流团2项，得1分。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7DDF0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国际交流合作处（港澳台办公室）</w:t>
            </w:r>
          </w:p>
        </w:tc>
      </w:tr>
      <w:tr w14:paraId="086DE8E6">
        <w:trPr>
          <w:trHeight w:val="90" w:hRule="atLeast"/>
        </w:trPr>
        <w:tc>
          <w:tcPr>
            <w:tcW w:w="431" w:type="pct"/>
            <w:vMerge w:val="continue"/>
            <w:vAlign w:val="center"/>
          </w:tcPr>
          <w:p w14:paraId="410AA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3E221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发展性指标</w:t>
            </w:r>
          </w:p>
        </w:tc>
      </w:tr>
      <w:tr w14:paraId="192F30AA">
        <w:trPr>
          <w:trHeight w:val="344" w:hRule="atLeast"/>
        </w:trPr>
        <w:tc>
          <w:tcPr>
            <w:tcW w:w="431" w:type="pct"/>
            <w:vMerge w:val="continue"/>
            <w:vAlign w:val="center"/>
          </w:tcPr>
          <w:p w14:paraId="43723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0458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国际交流合作活动</w:t>
            </w:r>
          </w:p>
          <w:p w14:paraId="0CF9D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6951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参与校级以上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重大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国际交流合作活动（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含派出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教职工担任志愿者等）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为A；其余不得分。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05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国际交流合作处（港澳台办公室）</w:t>
            </w:r>
          </w:p>
        </w:tc>
      </w:tr>
      <w:tr w14:paraId="7AD78CAF">
        <w:trPr>
          <w:trHeight w:val="90" w:hRule="atLeast"/>
        </w:trPr>
        <w:tc>
          <w:tcPr>
            <w:tcW w:w="431" w:type="pct"/>
            <w:vMerge w:val="restart"/>
            <w:vAlign w:val="center"/>
          </w:tcPr>
          <w:p w14:paraId="024FDD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26040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40E5A2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0E6287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107265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4B7449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21A75A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521C5B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  <w:p w14:paraId="449EE9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7.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综合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管理</w:t>
            </w:r>
          </w:p>
          <w:p w14:paraId="1811C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11分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）</w:t>
            </w: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637AD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基础性指标</w:t>
            </w:r>
          </w:p>
        </w:tc>
      </w:tr>
      <w:tr w14:paraId="6C0EDD24">
        <w:trPr>
          <w:trHeight w:val="536" w:hRule="atLeast"/>
        </w:trPr>
        <w:tc>
          <w:tcPr>
            <w:tcW w:w="431" w:type="pct"/>
            <w:vMerge w:val="continue"/>
            <w:vAlign w:val="center"/>
          </w:tcPr>
          <w:p w14:paraId="0136C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387E0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</w:rPr>
              <w:t>工作效能及年度计划执行情况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（1分）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50E88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依据年度工作过程材料、工作任务执行完成率等内容，按格次赋分法赋分。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4B76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办公室（巡察办公室）</w:t>
            </w:r>
          </w:p>
        </w:tc>
      </w:tr>
      <w:tr w14:paraId="65395F97">
        <w:trPr>
          <w:trHeight w:val="582" w:hRule="atLeast"/>
        </w:trPr>
        <w:tc>
          <w:tcPr>
            <w:tcW w:w="431" w:type="pct"/>
            <w:vMerge w:val="continue"/>
            <w:vAlign w:val="center"/>
          </w:tcPr>
          <w:p w14:paraId="0A887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4220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</w:rPr>
              <w:t>财务执行与资产管理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（1分）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385379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在承接财政专项资金项目过程中，资金执行进度未达到学校要求、使用绩效低下的，每项扣0.5分。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在资产管理、采购管理及财经政策执行过程中，出现工作不到位等责任事件，每次扣0.5分。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校内预算资金执行过程中，出现脱离学校中心工作，造成铺张浪费，每次扣0.5分。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以上扣分项目扣完为止。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F6C9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计划财务处（资产管理处）</w:t>
            </w:r>
          </w:p>
        </w:tc>
      </w:tr>
      <w:tr w14:paraId="0B6541C3">
        <w:trPr>
          <w:trHeight w:val="400" w:hRule="atLeast"/>
        </w:trPr>
        <w:tc>
          <w:tcPr>
            <w:tcW w:w="431" w:type="pct"/>
            <w:vMerge w:val="continue"/>
            <w:vAlign w:val="center"/>
          </w:tcPr>
          <w:p w14:paraId="65151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5E60C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</w:rPr>
              <w:t>质量评价与督导</w:t>
            </w:r>
          </w:p>
          <w:p w14:paraId="5FFBC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（2分）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06AE5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依据年度教学督导听课和内部质量保证体系执行情况，按格次赋分法赋分。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7FC03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质量管理办公室（督导办公室）</w:t>
            </w:r>
          </w:p>
        </w:tc>
      </w:tr>
      <w:tr w14:paraId="15CDB348">
        <w:trPr>
          <w:trHeight w:val="302" w:hRule="atLeast"/>
        </w:trPr>
        <w:tc>
          <w:tcPr>
            <w:tcW w:w="431" w:type="pct"/>
            <w:vMerge w:val="continue"/>
            <w:vAlign w:val="center"/>
          </w:tcPr>
          <w:p w14:paraId="46989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D644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校园安全稳定</w:t>
            </w:r>
          </w:p>
          <w:p w14:paraId="2D9DD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（4分）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17083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依据校园安全稳定主体责任和综治、交通、消防管理责任等落实情况，按格次赋分法赋分。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907A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安保部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</w:rPr>
              <w:t>（人武部）</w:t>
            </w:r>
          </w:p>
        </w:tc>
      </w:tr>
      <w:tr w14:paraId="6C23D778">
        <w:trPr>
          <w:trHeight w:val="236" w:hRule="atLeast"/>
        </w:trPr>
        <w:tc>
          <w:tcPr>
            <w:tcW w:w="431" w:type="pct"/>
            <w:vMerge w:val="continue"/>
            <w:vAlign w:val="center"/>
          </w:tcPr>
          <w:p w14:paraId="2C74D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7559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数字化改革</w:t>
            </w:r>
          </w:p>
          <w:p w14:paraId="2F9DA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（1.5分）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4F6A2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97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w w:val="97"/>
                <w:sz w:val="21"/>
                <w:szCs w:val="21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w w:val="97"/>
                <w:sz w:val="21"/>
                <w:szCs w:val="21"/>
                <w:highlight w:val="none"/>
                <w:u w:val="none"/>
                <w:lang w:val="en-US" w:eastAsia="zh-CN"/>
              </w:rPr>
              <w:t>面向教师组织开展数字素养和能力提升专题培训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7"/>
                <w:sz w:val="21"/>
                <w:szCs w:val="21"/>
                <w:highlight w:val="none"/>
                <w:u w:val="none"/>
                <w:lang w:val="en-US" w:eastAsia="zh-CN"/>
              </w:rPr>
              <w:t>，0.2分/次，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累计不超过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0.5分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7"/>
                <w:sz w:val="21"/>
                <w:szCs w:val="21"/>
                <w:highlight w:val="none"/>
                <w:u w:val="none"/>
                <w:lang w:val="en-US" w:eastAsia="zh-CN"/>
              </w:rPr>
              <w:t>。</w:t>
            </w:r>
          </w:p>
          <w:p w14:paraId="57DEF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积极配合参与学校数字化转型和智慧校园工作（数据治理、应用推广、问卷调查、网络安全等），依据参与次数赋分，满分1分。</w:t>
            </w:r>
          </w:p>
        </w:tc>
        <w:tc>
          <w:tcPr>
            <w:tcW w:w="536" w:type="pct"/>
            <w:vAlign w:val="center"/>
          </w:tcPr>
          <w:p w14:paraId="78CC8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图书馆（信息技术中心）</w:t>
            </w:r>
          </w:p>
        </w:tc>
      </w:tr>
      <w:tr w14:paraId="276B8529">
        <w:trPr>
          <w:trHeight w:val="236" w:hRule="atLeast"/>
        </w:trPr>
        <w:tc>
          <w:tcPr>
            <w:tcW w:w="431" w:type="pct"/>
            <w:vMerge w:val="continue"/>
            <w:vAlign w:val="center"/>
          </w:tcPr>
          <w:p w14:paraId="3927F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4568" w:type="pct"/>
            <w:gridSpan w:val="3"/>
            <w:shd w:val="clear" w:color="auto" w:fill="auto"/>
            <w:vAlign w:val="center"/>
          </w:tcPr>
          <w:p w14:paraId="60110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none"/>
                <w:lang w:val="en-US" w:eastAsia="zh-CN"/>
              </w:rPr>
              <w:t>发展性指标</w:t>
            </w:r>
          </w:p>
        </w:tc>
      </w:tr>
      <w:tr w14:paraId="0657D3AD">
        <w:trPr>
          <w:trHeight w:val="980" w:hRule="atLeast"/>
        </w:trPr>
        <w:tc>
          <w:tcPr>
            <w:tcW w:w="431" w:type="pct"/>
            <w:vMerge w:val="continue"/>
            <w:vAlign w:val="center"/>
          </w:tcPr>
          <w:p w14:paraId="660A3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FCEB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教育数字化改革创新（1.5分）</w:t>
            </w:r>
          </w:p>
        </w:tc>
        <w:tc>
          <w:tcPr>
            <w:tcW w:w="3351" w:type="pct"/>
            <w:shd w:val="clear" w:color="auto" w:fill="auto"/>
            <w:vAlign w:val="center"/>
          </w:tcPr>
          <w:p w14:paraId="2B888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获评市级及以上优秀案例及相关获奖1分/项；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公开发表相关论文、出版相关专著或相关成果1分/项；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相关工作获省级及以上媒体宣传1分/项。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得3分及以上为A，2分为B，1分为C，其余不得分。</w:t>
            </w:r>
          </w:p>
        </w:tc>
        <w:tc>
          <w:tcPr>
            <w:tcW w:w="536" w:type="pct"/>
            <w:vAlign w:val="center"/>
          </w:tcPr>
          <w:p w14:paraId="347EF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  <w:t>图书馆（信息技术中心）</w:t>
            </w:r>
          </w:p>
        </w:tc>
      </w:tr>
    </w:tbl>
    <w:p w14:paraId="25079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  <w:t>备注：1.基础性指标18个64.5分，发展性指标：16个35.5分。</w:t>
      </w:r>
    </w:p>
    <w:p w14:paraId="226B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  <w:t>2.16个发展性指标至少选取13个指标，以13个指标得分比例作为剩余指标赋分依据。</w:t>
      </w:r>
    </w:p>
    <w:p w14:paraId="18A32C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 w:firstLine="630" w:firstLineChars="3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  <w:t>3.发展性指标中A档占比为100%，B档占比为80%，C档占比为50%。</w:t>
      </w:r>
    </w:p>
    <w:sectPr>
      <w:footerReference r:id="rId3" w:type="default"/>
      <w:pgSz w:w="16838" w:h="11906" w:orient="landscape"/>
      <w:pgMar w:top="1633" w:right="1440" w:bottom="1633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ZDocXiaoBiaoSong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DF34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8A824E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8A824E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7F88F"/>
    <w:multiLevelType w:val="singleLevel"/>
    <w:tmpl w:val="50A7F88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N2I0YzliYjcxMzBjNzNjZjJjYmU5YTdjYWE5ZjYifQ=="/>
  </w:docVars>
  <w:rsids>
    <w:rsidRoot w:val="37F7C88B"/>
    <w:rsid w:val="0000293B"/>
    <w:rsid w:val="00052097"/>
    <w:rsid w:val="0007512D"/>
    <w:rsid w:val="00086A3B"/>
    <w:rsid w:val="000A23DE"/>
    <w:rsid w:val="000A5657"/>
    <w:rsid w:val="00161B80"/>
    <w:rsid w:val="0018418B"/>
    <w:rsid w:val="002F09B8"/>
    <w:rsid w:val="0032169C"/>
    <w:rsid w:val="003234AD"/>
    <w:rsid w:val="0037722E"/>
    <w:rsid w:val="003C140E"/>
    <w:rsid w:val="00431724"/>
    <w:rsid w:val="00485C97"/>
    <w:rsid w:val="00495002"/>
    <w:rsid w:val="004F4FCB"/>
    <w:rsid w:val="006B10FB"/>
    <w:rsid w:val="006C7501"/>
    <w:rsid w:val="006E2B87"/>
    <w:rsid w:val="007827CE"/>
    <w:rsid w:val="00822083"/>
    <w:rsid w:val="0096579C"/>
    <w:rsid w:val="009B4A84"/>
    <w:rsid w:val="00A2138F"/>
    <w:rsid w:val="00A3765E"/>
    <w:rsid w:val="00B10DB5"/>
    <w:rsid w:val="00B13776"/>
    <w:rsid w:val="00BE6DCE"/>
    <w:rsid w:val="00CC1571"/>
    <w:rsid w:val="00D666F1"/>
    <w:rsid w:val="00E12D88"/>
    <w:rsid w:val="00E64F6F"/>
    <w:rsid w:val="00EF7035"/>
    <w:rsid w:val="00FB36BB"/>
    <w:rsid w:val="00FD2041"/>
    <w:rsid w:val="015C1CB7"/>
    <w:rsid w:val="0287356C"/>
    <w:rsid w:val="03FEB091"/>
    <w:rsid w:val="05554FA3"/>
    <w:rsid w:val="07BCC6F9"/>
    <w:rsid w:val="094B2569"/>
    <w:rsid w:val="09DD4053"/>
    <w:rsid w:val="0E8E507E"/>
    <w:rsid w:val="0ED3991C"/>
    <w:rsid w:val="0FF77046"/>
    <w:rsid w:val="102D573F"/>
    <w:rsid w:val="104D3BE2"/>
    <w:rsid w:val="10D97CD5"/>
    <w:rsid w:val="122E0D51"/>
    <w:rsid w:val="12CFF9FC"/>
    <w:rsid w:val="13CC1957"/>
    <w:rsid w:val="1493748C"/>
    <w:rsid w:val="16BF1EFF"/>
    <w:rsid w:val="16D71435"/>
    <w:rsid w:val="175D5180"/>
    <w:rsid w:val="17FA7990"/>
    <w:rsid w:val="1B097409"/>
    <w:rsid w:val="1BEE2BC1"/>
    <w:rsid w:val="1BF158F4"/>
    <w:rsid w:val="1C4F33BB"/>
    <w:rsid w:val="1D5F9F7E"/>
    <w:rsid w:val="1F336B2E"/>
    <w:rsid w:val="23D0562C"/>
    <w:rsid w:val="248D2E59"/>
    <w:rsid w:val="24AB407B"/>
    <w:rsid w:val="2505022E"/>
    <w:rsid w:val="261B4B7E"/>
    <w:rsid w:val="28663A43"/>
    <w:rsid w:val="297E535E"/>
    <w:rsid w:val="2AFF5B49"/>
    <w:rsid w:val="2B5D9AE4"/>
    <w:rsid w:val="2BDFD895"/>
    <w:rsid w:val="2DF57B26"/>
    <w:rsid w:val="2E3B17CD"/>
    <w:rsid w:val="2EF7997A"/>
    <w:rsid w:val="2F25260C"/>
    <w:rsid w:val="2F37E084"/>
    <w:rsid w:val="2FADDC83"/>
    <w:rsid w:val="30BF5AA1"/>
    <w:rsid w:val="32B71AE5"/>
    <w:rsid w:val="32DC56D7"/>
    <w:rsid w:val="33004208"/>
    <w:rsid w:val="33FC0A61"/>
    <w:rsid w:val="34A85FCC"/>
    <w:rsid w:val="37BB8146"/>
    <w:rsid w:val="37F7C88B"/>
    <w:rsid w:val="38EF4F0E"/>
    <w:rsid w:val="398100B5"/>
    <w:rsid w:val="39DF1BE8"/>
    <w:rsid w:val="39FED330"/>
    <w:rsid w:val="3B1F4DDA"/>
    <w:rsid w:val="3CF72207"/>
    <w:rsid w:val="3DA7BC38"/>
    <w:rsid w:val="3E834A54"/>
    <w:rsid w:val="3F1CA8FC"/>
    <w:rsid w:val="3F5AA883"/>
    <w:rsid w:val="3F5FF2CC"/>
    <w:rsid w:val="3FBF9570"/>
    <w:rsid w:val="3FD9CC33"/>
    <w:rsid w:val="3FE3112E"/>
    <w:rsid w:val="417C4F1D"/>
    <w:rsid w:val="41DFB0A5"/>
    <w:rsid w:val="43E7332B"/>
    <w:rsid w:val="462610FA"/>
    <w:rsid w:val="47BB0E75"/>
    <w:rsid w:val="496A2DD6"/>
    <w:rsid w:val="4C89669F"/>
    <w:rsid w:val="4CF5AB97"/>
    <w:rsid w:val="4D790AD8"/>
    <w:rsid w:val="4DF6C756"/>
    <w:rsid w:val="4FFF56F2"/>
    <w:rsid w:val="500E00C8"/>
    <w:rsid w:val="50AC6291"/>
    <w:rsid w:val="50CC1778"/>
    <w:rsid w:val="52C36A6C"/>
    <w:rsid w:val="53F46CC9"/>
    <w:rsid w:val="543F96CC"/>
    <w:rsid w:val="56293E29"/>
    <w:rsid w:val="56D75F52"/>
    <w:rsid w:val="572B5DCD"/>
    <w:rsid w:val="5B9903BB"/>
    <w:rsid w:val="5B9EB8F1"/>
    <w:rsid w:val="5BEF9281"/>
    <w:rsid w:val="5BF10CC1"/>
    <w:rsid w:val="5BFFE4C0"/>
    <w:rsid w:val="5CB609AD"/>
    <w:rsid w:val="5D7DBD87"/>
    <w:rsid w:val="5DBD7A7F"/>
    <w:rsid w:val="5DFE8C4C"/>
    <w:rsid w:val="5EB327EC"/>
    <w:rsid w:val="5ECF6A6C"/>
    <w:rsid w:val="5F144D5E"/>
    <w:rsid w:val="5FF55CD6"/>
    <w:rsid w:val="5FFE6C22"/>
    <w:rsid w:val="608E1A75"/>
    <w:rsid w:val="610F2968"/>
    <w:rsid w:val="614827D7"/>
    <w:rsid w:val="61FED599"/>
    <w:rsid w:val="62E70B3A"/>
    <w:rsid w:val="63B3043D"/>
    <w:rsid w:val="645C7768"/>
    <w:rsid w:val="653E5C3C"/>
    <w:rsid w:val="664F3871"/>
    <w:rsid w:val="66D735BE"/>
    <w:rsid w:val="6703077D"/>
    <w:rsid w:val="675F4119"/>
    <w:rsid w:val="67FEEE7D"/>
    <w:rsid w:val="67FFAE44"/>
    <w:rsid w:val="6959DD14"/>
    <w:rsid w:val="6A424F81"/>
    <w:rsid w:val="6A4A3E9C"/>
    <w:rsid w:val="6B7557AA"/>
    <w:rsid w:val="6BCEE718"/>
    <w:rsid w:val="6BFE518B"/>
    <w:rsid w:val="6CBD6275"/>
    <w:rsid w:val="6DC7532F"/>
    <w:rsid w:val="6DF9175E"/>
    <w:rsid w:val="6EAB2EDC"/>
    <w:rsid w:val="6F7FA9F2"/>
    <w:rsid w:val="6F9ABFC6"/>
    <w:rsid w:val="6FBF0389"/>
    <w:rsid w:val="6FEF47EE"/>
    <w:rsid w:val="6FFCC45A"/>
    <w:rsid w:val="6FFDD1A7"/>
    <w:rsid w:val="70223EAC"/>
    <w:rsid w:val="722212B0"/>
    <w:rsid w:val="722241AD"/>
    <w:rsid w:val="7255521E"/>
    <w:rsid w:val="727F144B"/>
    <w:rsid w:val="72CA7557"/>
    <w:rsid w:val="73ED6704"/>
    <w:rsid w:val="75B762D4"/>
    <w:rsid w:val="774D128C"/>
    <w:rsid w:val="779DDFA6"/>
    <w:rsid w:val="77CF7E81"/>
    <w:rsid w:val="77EFC24C"/>
    <w:rsid w:val="77FF3346"/>
    <w:rsid w:val="77FF62F2"/>
    <w:rsid w:val="77FF6903"/>
    <w:rsid w:val="786D7874"/>
    <w:rsid w:val="78B3956D"/>
    <w:rsid w:val="79314613"/>
    <w:rsid w:val="7AE3CF95"/>
    <w:rsid w:val="7AFA81C3"/>
    <w:rsid w:val="7B9D1BE1"/>
    <w:rsid w:val="7BAE4CA3"/>
    <w:rsid w:val="7BDE7823"/>
    <w:rsid w:val="7BE443F4"/>
    <w:rsid w:val="7BE69D78"/>
    <w:rsid w:val="7BEF9246"/>
    <w:rsid w:val="7BFB595E"/>
    <w:rsid w:val="7C092DF3"/>
    <w:rsid w:val="7C3EA302"/>
    <w:rsid w:val="7CDBB65C"/>
    <w:rsid w:val="7CF43AB7"/>
    <w:rsid w:val="7CFF36FD"/>
    <w:rsid w:val="7D4DE3C4"/>
    <w:rsid w:val="7DB20523"/>
    <w:rsid w:val="7DB978C1"/>
    <w:rsid w:val="7DE5AC56"/>
    <w:rsid w:val="7DEF0759"/>
    <w:rsid w:val="7DFB77AE"/>
    <w:rsid w:val="7E7B7429"/>
    <w:rsid w:val="7EA725CA"/>
    <w:rsid w:val="7EAE3740"/>
    <w:rsid w:val="7EFB0A25"/>
    <w:rsid w:val="7EFB68A6"/>
    <w:rsid w:val="7EFD7590"/>
    <w:rsid w:val="7EFF109B"/>
    <w:rsid w:val="7F086339"/>
    <w:rsid w:val="7F3FE49E"/>
    <w:rsid w:val="7F7FDB8E"/>
    <w:rsid w:val="7FB3B59F"/>
    <w:rsid w:val="7FBF8A09"/>
    <w:rsid w:val="7FDF8B41"/>
    <w:rsid w:val="7FEBBCA6"/>
    <w:rsid w:val="7FEC8CE2"/>
    <w:rsid w:val="7FF3209C"/>
    <w:rsid w:val="7FFE8F56"/>
    <w:rsid w:val="7FFE9A98"/>
    <w:rsid w:val="7FFEAC97"/>
    <w:rsid w:val="7FFF5157"/>
    <w:rsid w:val="7FFF59F3"/>
    <w:rsid w:val="97EFDE1A"/>
    <w:rsid w:val="9E3CAEC7"/>
    <w:rsid w:val="9E75E55A"/>
    <w:rsid w:val="9FFA3D32"/>
    <w:rsid w:val="A7DED5D5"/>
    <w:rsid w:val="ACFACD32"/>
    <w:rsid w:val="ADCEA46B"/>
    <w:rsid w:val="ADF4663B"/>
    <w:rsid w:val="AF572EDD"/>
    <w:rsid w:val="AFFF6023"/>
    <w:rsid w:val="B27B36B1"/>
    <w:rsid w:val="BAFFCAD2"/>
    <w:rsid w:val="BBA71304"/>
    <w:rsid w:val="BDFDA043"/>
    <w:rsid w:val="BE3F8DE9"/>
    <w:rsid w:val="BEF94AEF"/>
    <w:rsid w:val="BF3FA38A"/>
    <w:rsid w:val="BFBEBDF7"/>
    <w:rsid w:val="BFBFB0F8"/>
    <w:rsid w:val="BFE6C3C0"/>
    <w:rsid w:val="BFEBBF90"/>
    <w:rsid w:val="BFF73412"/>
    <w:rsid w:val="BFFAEBBC"/>
    <w:rsid w:val="BFFFE3D9"/>
    <w:rsid w:val="BFFFF84D"/>
    <w:rsid w:val="C1D28D51"/>
    <w:rsid w:val="CBFF5C78"/>
    <w:rsid w:val="CBFFFC6E"/>
    <w:rsid w:val="CDFE4B84"/>
    <w:rsid w:val="CFAD64AD"/>
    <w:rsid w:val="CFCE1A93"/>
    <w:rsid w:val="DBDE9B45"/>
    <w:rsid w:val="DDBD3635"/>
    <w:rsid w:val="DF2F610D"/>
    <w:rsid w:val="DF4BD917"/>
    <w:rsid w:val="DF97DB54"/>
    <w:rsid w:val="DFAF738A"/>
    <w:rsid w:val="DFAF7C42"/>
    <w:rsid w:val="DFDFFEF2"/>
    <w:rsid w:val="E3FF28F8"/>
    <w:rsid w:val="E97FDA6C"/>
    <w:rsid w:val="E9AB5D75"/>
    <w:rsid w:val="EAAEEDAB"/>
    <w:rsid w:val="EADFCB04"/>
    <w:rsid w:val="EBCEA6EA"/>
    <w:rsid w:val="EBEB1E03"/>
    <w:rsid w:val="ECBE9248"/>
    <w:rsid w:val="ECDFE201"/>
    <w:rsid w:val="EE9B5490"/>
    <w:rsid w:val="EEE7C493"/>
    <w:rsid w:val="EEEEED42"/>
    <w:rsid w:val="EF613DA2"/>
    <w:rsid w:val="EF8F0A1B"/>
    <w:rsid w:val="EFA396B2"/>
    <w:rsid w:val="EFBF5696"/>
    <w:rsid w:val="EFDEFBD7"/>
    <w:rsid w:val="EFFF8451"/>
    <w:rsid w:val="F175C5E6"/>
    <w:rsid w:val="F1BD6328"/>
    <w:rsid w:val="F2E6F712"/>
    <w:rsid w:val="F3E8D7AD"/>
    <w:rsid w:val="F3F7E7EE"/>
    <w:rsid w:val="F4F547E0"/>
    <w:rsid w:val="F57F2978"/>
    <w:rsid w:val="F63F756B"/>
    <w:rsid w:val="F67B155A"/>
    <w:rsid w:val="F6B54C11"/>
    <w:rsid w:val="F6B5C028"/>
    <w:rsid w:val="F6FC47F8"/>
    <w:rsid w:val="F72EFD92"/>
    <w:rsid w:val="F77B317F"/>
    <w:rsid w:val="F7CF6893"/>
    <w:rsid w:val="F7FE2152"/>
    <w:rsid w:val="F8AC35CC"/>
    <w:rsid w:val="F8FDAF5B"/>
    <w:rsid w:val="FAB7943E"/>
    <w:rsid w:val="FAFFD29F"/>
    <w:rsid w:val="FBAD1CDF"/>
    <w:rsid w:val="FBFF92D8"/>
    <w:rsid w:val="FBFFDEE6"/>
    <w:rsid w:val="FBFFE00B"/>
    <w:rsid w:val="FC1D9A40"/>
    <w:rsid w:val="FC5C3CCC"/>
    <w:rsid w:val="FCF508C0"/>
    <w:rsid w:val="FCFF36FB"/>
    <w:rsid w:val="FD5D9A61"/>
    <w:rsid w:val="FD5DA77E"/>
    <w:rsid w:val="FD8DF477"/>
    <w:rsid w:val="FDB36744"/>
    <w:rsid w:val="FE7FD943"/>
    <w:rsid w:val="FE8DD5B5"/>
    <w:rsid w:val="FE9BE059"/>
    <w:rsid w:val="FEDB5DF9"/>
    <w:rsid w:val="FEEBD874"/>
    <w:rsid w:val="FF062CB7"/>
    <w:rsid w:val="FF7B5EF4"/>
    <w:rsid w:val="FF7F01C8"/>
    <w:rsid w:val="FF7F9296"/>
    <w:rsid w:val="FF7FD6D7"/>
    <w:rsid w:val="FF8DFAA6"/>
    <w:rsid w:val="FF9D8D49"/>
    <w:rsid w:val="FFBD0FEC"/>
    <w:rsid w:val="FFBFC4EC"/>
    <w:rsid w:val="FFBFDAAA"/>
    <w:rsid w:val="FFCB57BB"/>
    <w:rsid w:val="FFD3E072"/>
    <w:rsid w:val="FFDC4359"/>
    <w:rsid w:val="FFECEF1F"/>
    <w:rsid w:val="FFEF5344"/>
    <w:rsid w:val="FFF639F0"/>
    <w:rsid w:val="FFFB9375"/>
    <w:rsid w:val="FFFFF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方正公文小标宋"/>
      <w:b/>
      <w:bCs/>
      <w:sz w:val="40"/>
      <w:szCs w:val="4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rFonts w:ascii="Calibri" w:hAnsi="Calibri" w:eastAsia="宋体" w:cs="方正公文小标宋"/>
      <w:b/>
      <w:bCs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="Calibri" w:hAnsi="Calibri" w:eastAsia="宋体" w:cs="方正公文小标宋"/>
      <w:b/>
      <w:b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3704</Words>
  <Characters>3901</Characters>
  <Lines>24</Lines>
  <Paragraphs>6</Paragraphs>
  <TotalTime>1</TotalTime>
  <ScaleCrop>false</ScaleCrop>
  <LinksUpToDate>false</LinksUpToDate>
  <CharactersWithSpaces>3913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2024-05-07T08:19:00Z</dcterms:created>
  <dc:creator>微笑的丁壹</dc:creator>
  <cp:lastModifiedBy>微笑的丁壹</cp:lastModifiedBy>
  <cp:lastPrinted>2025-01-01T17:33:00Z</cp:lastPrinted>
  <dcterms:modified xsi:type="dcterms:W3CDTF">2025-01-07T21:08:30Z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B7B20C5E2A762E4498496B67D6FDF556_43</vt:lpwstr>
  </property>
  <property fmtid="{D5CDD505-2E9C-101B-9397-08002B2CF9AE}" pid="4" name="KSOTemplateDocerSaveRecord">
    <vt:lpwstr>eyJoZGlkIjoiZDFiN2I0YzliYjcxMzBjNzNjZjJjYmU5YTdjYWE5ZjYiLCJ1c2VySWQiOiI1NzIzMDA2MzkifQ==</vt:lpwstr>
  </property>
</Properties>
</file>