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4D9AF">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黑体" w:hAnsi="黑体" w:eastAsia="黑体" w:cs="黑体"/>
          <w:b w:val="0"/>
          <w:bCs w:val="0"/>
          <w:sz w:val="32"/>
          <w:szCs w:val="32"/>
          <w:u w:val="none"/>
          <w:lang w:val="en-US" w:eastAsia="zh-CN"/>
        </w:rPr>
      </w:pPr>
      <w:r>
        <w:rPr>
          <w:rFonts w:hint="eastAsia" w:ascii="黑体" w:hAnsi="黑体" w:eastAsia="黑体" w:cs="黑体"/>
          <w:b w:val="0"/>
          <w:bCs w:val="0"/>
          <w:sz w:val="32"/>
          <w:szCs w:val="32"/>
          <w:u w:val="none"/>
          <w:lang w:val="en-US" w:eastAsia="zh-CN"/>
        </w:rPr>
        <w:t>附件2</w:t>
      </w:r>
    </w:p>
    <w:p w14:paraId="6889884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b w:val="0"/>
          <w:bCs w:val="0"/>
          <w:sz w:val="36"/>
          <w:szCs w:val="36"/>
          <w:lang w:eastAsia="zh-CN"/>
        </w:rPr>
      </w:pPr>
      <w:r>
        <w:rPr>
          <w:rFonts w:hint="eastAsia" w:ascii="方正小标宋_GBK" w:hAnsi="方正小标宋_GBK" w:eastAsia="方正小标宋_GBK" w:cs="方正小标宋_GBK"/>
          <w:b w:val="0"/>
          <w:bCs w:val="0"/>
          <w:sz w:val="36"/>
          <w:szCs w:val="36"/>
          <w:u w:val="none"/>
        </w:rPr>
        <w:t>宁波城市职业技术学院教学单位高质量发展</w:t>
      </w:r>
      <w:r>
        <w:rPr>
          <w:rFonts w:hint="eastAsia" w:ascii="方正小标宋_GBK" w:hAnsi="方正小标宋_GBK" w:eastAsia="方正小标宋_GBK" w:cs="方正小标宋_GBK"/>
          <w:b w:val="0"/>
          <w:bCs w:val="0"/>
          <w:sz w:val="36"/>
          <w:szCs w:val="36"/>
          <w:u w:val="none"/>
          <w:lang w:val="en-US" w:eastAsia="zh-CN"/>
        </w:rPr>
        <w:t>评价</w:t>
      </w:r>
      <w:r>
        <w:rPr>
          <w:rFonts w:hint="eastAsia" w:ascii="方正小标宋_GBK" w:hAnsi="方正小标宋_GBK" w:eastAsia="方正小标宋_GBK" w:cs="方正小标宋_GBK"/>
          <w:b w:val="0"/>
          <w:bCs w:val="0"/>
          <w:sz w:val="36"/>
          <w:szCs w:val="36"/>
          <w:u w:val="none"/>
        </w:rPr>
        <w:t>指标</w:t>
      </w:r>
      <w:r>
        <w:rPr>
          <w:rFonts w:hint="eastAsia" w:ascii="方正小标宋_GBK" w:hAnsi="方正小标宋_GBK" w:eastAsia="方正小标宋_GBK" w:cs="方正小标宋_GBK"/>
          <w:b w:val="0"/>
          <w:bCs w:val="0"/>
          <w:sz w:val="36"/>
          <w:szCs w:val="36"/>
          <w:lang w:eastAsia="zh-CN"/>
        </w:rPr>
        <w:t>（</w:t>
      </w:r>
      <w:r>
        <w:rPr>
          <w:rFonts w:hint="eastAsia" w:ascii="方正小标宋_GBK" w:hAnsi="方正小标宋_GBK" w:eastAsia="方正小标宋_GBK" w:cs="方正小标宋_GBK"/>
          <w:b w:val="0"/>
          <w:bCs w:val="0"/>
          <w:sz w:val="36"/>
          <w:szCs w:val="36"/>
          <w:lang w:val="en-US" w:eastAsia="zh-CN"/>
        </w:rPr>
        <w:t>试行</w:t>
      </w:r>
      <w:r>
        <w:rPr>
          <w:rFonts w:hint="eastAsia" w:ascii="方正小标宋_GBK" w:hAnsi="方正小标宋_GBK" w:eastAsia="方正小标宋_GBK" w:cs="方正小标宋_GBK"/>
          <w:b w:val="0"/>
          <w:bCs w:val="0"/>
          <w:sz w:val="36"/>
          <w:szCs w:val="36"/>
          <w:lang w:eastAsia="zh-CN"/>
        </w:rPr>
        <w:t>）（</w:t>
      </w:r>
      <w:r>
        <w:rPr>
          <w:rFonts w:hint="eastAsia" w:ascii="方正小标宋_GBK" w:hAnsi="方正小标宋_GBK" w:eastAsia="方正小标宋_GBK" w:cs="方正小标宋_GBK"/>
          <w:b w:val="0"/>
          <w:bCs w:val="0"/>
          <w:sz w:val="36"/>
          <w:szCs w:val="36"/>
          <w:u w:val="none"/>
          <w:lang w:val="en-US" w:eastAsia="zh-CN"/>
        </w:rPr>
        <w:t>不含马克思主义学</w:t>
      </w:r>
      <w:r>
        <w:rPr>
          <w:rFonts w:hint="eastAsia" w:ascii="方正小标宋_GBK" w:hAnsi="方正小标宋_GBK" w:eastAsia="方正小标宋_GBK" w:cs="方正小标宋_GBK"/>
          <w:b w:val="0"/>
          <w:bCs w:val="0"/>
          <w:sz w:val="36"/>
          <w:szCs w:val="36"/>
          <w:u w:val="none"/>
        </w:rPr>
        <w:t>院</w:t>
      </w:r>
      <w:r>
        <w:rPr>
          <w:rFonts w:hint="eastAsia" w:ascii="方正小标宋_GBK" w:hAnsi="方正小标宋_GBK" w:eastAsia="方正小标宋_GBK" w:cs="方正小标宋_GBK"/>
          <w:b w:val="0"/>
          <w:bCs w:val="0"/>
          <w:sz w:val="36"/>
          <w:szCs w:val="36"/>
          <w:u w:val="none"/>
          <w:lang w:val="en-US" w:eastAsia="zh-CN"/>
        </w:rPr>
        <w:t>和</w:t>
      </w:r>
      <w:r>
        <w:rPr>
          <w:rFonts w:hint="eastAsia" w:ascii="方正小标宋_GBK" w:hAnsi="方正小标宋_GBK" w:eastAsia="方正小标宋_GBK" w:cs="方正小标宋_GBK"/>
          <w:b w:val="0"/>
          <w:bCs w:val="0"/>
          <w:sz w:val="36"/>
          <w:szCs w:val="36"/>
          <w:u w:val="none"/>
        </w:rPr>
        <w:t>基础</w:t>
      </w:r>
      <w:r>
        <w:rPr>
          <w:rFonts w:hint="eastAsia" w:ascii="方正小标宋_GBK" w:hAnsi="方正小标宋_GBK" w:eastAsia="方正小标宋_GBK" w:cs="方正小标宋_GBK"/>
          <w:b w:val="0"/>
          <w:bCs w:val="0"/>
          <w:sz w:val="36"/>
          <w:szCs w:val="36"/>
          <w:u w:val="none"/>
          <w:lang w:val="en-US" w:eastAsia="zh-CN"/>
        </w:rPr>
        <w:t>课教学</w:t>
      </w:r>
      <w:r>
        <w:rPr>
          <w:rFonts w:hint="eastAsia" w:ascii="方正小标宋_GBK" w:hAnsi="方正小标宋_GBK" w:eastAsia="方正小标宋_GBK" w:cs="方正小标宋_GBK"/>
          <w:b w:val="0"/>
          <w:bCs w:val="0"/>
          <w:sz w:val="36"/>
          <w:szCs w:val="36"/>
          <w:u w:val="none"/>
        </w:rPr>
        <w:t>部</w:t>
      </w:r>
      <w:r>
        <w:rPr>
          <w:rFonts w:hint="eastAsia" w:ascii="方正小标宋_GBK" w:hAnsi="方正小标宋_GBK" w:eastAsia="方正小标宋_GBK" w:cs="方正小标宋_GBK"/>
          <w:b w:val="0"/>
          <w:bCs w:val="0"/>
          <w:sz w:val="36"/>
          <w:szCs w:val="36"/>
          <w:u w:val="none"/>
          <w:lang w:eastAsia="zh-CN"/>
        </w:rPr>
        <w:t>）</w:t>
      </w:r>
    </w:p>
    <w:p w14:paraId="24CC4EA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eastAsia="宋体"/>
          <w:u w:val="none"/>
          <w:lang w:eastAsia="zh-CN"/>
        </w:rPr>
      </w:pPr>
    </w:p>
    <w:tbl>
      <w:tblPr>
        <w:tblStyle w:val="9"/>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8"/>
        <w:gridCol w:w="1531"/>
        <w:gridCol w:w="10055"/>
        <w:gridCol w:w="1291"/>
      </w:tblGrid>
      <w:tr w14:paraId="1B925F29">
        <w:trPr>
          <w:trHeight w:val="90" w:hRule="atLeast"/>
          <w:tblHeader/>
        </w:trPr>
        <w:tc>
          <w:tcPr>
            <w:tcW w:w="432" w:type="pct"/>
            <w:vAlign w:val="center"/>
          </w:tcPr>
          <w:p w14:paraId="24773A51">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黑体" w:hAnsi="黑体" w:eastAsia="黑体" w:cs="黑体"/>
                <w:b w:val="0"/>
                <w:bCs w:val="0"/>
                <w:color w:val="auto"/>
                <w:sz w:val="21"/>
                <w:szCs w:val="21"/>
                <w:u w:val="none"/>
              </w:rPr>
            </w:pPr>
            <w:r>
              <w:rPr>
                <w:rFonts w:hint="eastAsia" w:ascii="黑体" w:hAnsi="黑体" w:eastAsia="黑体" w:cs="黑体"/>
                <w:b w:val="0"/>
                <w:bCs w:val="0"/>
                <w:color w:val="auto"/>
                <w:sz w:val="21"/>
                <w:szCs w:val="21"/>
                <w:u w:val="none"/>
              </w:rPr>
              <w:t>一级指标</w:t>
            </w:r>
          </w:p>
        </w:tc>
        <w:tc>
          <w:tcPr>
            <w:tcW w:w="543" w:type="pct"/>
            <w:vAlign w:val="center"/>
          </w:tcPr>
          <w:p w14:paraId="556D74E9">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黑体" w:hAnsi="黑体" w:eastAsia="黑体" w:cs="黑体"/>
                <w:b w:val="0"/>
                <w:bCs w:val="0"/>
                <w:color w:val="auto"/>
                <w:sz w:val="21"/>
                <w:szCs w:val="21"/>
                <w:u w:val="none"/>
                <w:lang w:val="en-US" w:eastAsia="zh-CN"/>
              </w:rPr>
            </w:pPr>
            <w:r>
              <w:rPr>
                <w:rFonts w:hint="eastAsia" w:ascii="黑体" w:hAnsi="黑体" w:eastAsia="黑体" w:cs="黑体"/>
                <w:b w:val="0"/>
                <w:bCs w:val="0"/>
                <w:color w:val="auto"/>
                <w:sz w:val="21"/>
                <w:szCs w:val="21"/>
                <w:u w:val="none"/>
                <w:lang w:val="en-US" w:eastAsia="zh-CN"/>
              </w:rPr>
              <w:t>观测点</w:t>
            </w:r>
          </w:p>
        </w:tc>
        <w:tc>
          <w:tcPr>
            <w:tcW w:w="3566" w:type="pct"/>
            <w:vAlign w:val="center"/>
          </w:tcPr>
          <w:p w14:paraId="72E0701E">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黑体" w:hAnsi="黑体" w:eastAsia="黑体" w:cs="黑体"/>
                <w:b w:val="0"/>
                <w:bCs w:val="0"/>
                <w:color w:val="auto"/>
                <w:sz w:val="21"/>
                <w:szCs w:val="21"/>
                <w:u w:val="none"/>
              </w:rPr>
            </w:pPr>
            <w:r>
              <w:rPr>
                <w:rFonts w:hint="eastAsia" w:ascii="黑体" w:hAnsi="黑体" w:eastAsia="黑体" w:cs="黑体"/>
                <w:b w:val="0"/>
                <w:bCs w:val="0"/>
                <w:color w:val="auto"/>
                <w:sz w:val="21"/>
                <w:szCs w:val="21"/>
                <w:u w:val="none"/>
              </w:rPr>
              <w:t>赋分标准</w:t>
            </w:r>
          </w:p>
        </w:tc>
        <w:tc>
          <w:tcPr>
            <w:tcW w:w="457" w:type="pct"/>
            <w:vAlign w:val="center"/>
          </w:tcPr>
          <w:p w14:paraId="22646743">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黑体" w:hAnsi="黑体" w:eastAsia="黑体" w:cs="黑体"/>
                <w:b w:val="0"/>
                <w:bCs w:val="0"/>
                <w:color w:val="auto"/>
                <w:sz w:val="21"/>
                <w:szCs w:val="21"/>
                <w:u w:val="none"/>
              </w:rPr>
            </w:pPr>
            <w:r>
              <w:rPr>
                <w:rFonts w:hint="eastAsia" w:ascii="黑体" w:hAnsi="黑体" w:eastAsia="黑体" w:cs="黑体"/>
                <w:b w:val="0"/>
                <w:bCs w:val="0"/>
                <w:color w:val="auto"/>
                <w:sz w:val="21"/>
                <w:szCs w:val="21"/>
                <w:u w:val="none"/>
              </w:rPr>
              <w:t>评分部门</w:t>
            </w:r>
          </w:p>
        </w:tc>
      </w:tr>
      <w:tr w14:paraId="33D88A25">
        <w:trPr>
          <w:trHeight w:val="90" w:hRule="atLeast"/>
        </w:trPr>
        <w:tc>
          <w:tcPr>
            <w:tcW w:w="432" w:type="pct"/>
            <w:vMerge w:val="restart"/>
            <w:vAlign w:val="center"/>
          </w:tcPr>
          <w:p w14:paraId="2F4EA69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lang w:val="en-US" w:eastAsia="zh-CN"/>
              </w:rPr>
              <w:t>1.</w:t>
            </w:r>
            <w:r>
              <w:rPr>
                <w:rFonts w:hint="eastAsia" w:ascii="仿宋" w:hAnsi="仿宋" w:eastAsia="仿宋" w:cs="仿宋"/>
                <w:b w:val="0"/>
                <w:bCs w:val="0"/>
                <w:color w:val="auto"/>
                <w:sz w:val="21"/>
                <w:szCs w:val="21"/>
                <w:u w:val="none"/>
              </w:rPr>
              <w:t>教学质量与水平（2</w:t>
            </w:r>
            <w:r>
              <w:rPr>
                <w:rFonts w:hint="eastAsia" w:ascii="仿宋" w:hAnsi="仿宋" w:eastAsia="仿宋" w:cs="仿宋"/>
                <w:b w:val="0"/>
                <w:bCs w:val="0"/>
                <w:color w:val="auto"/>
                <w:sz w:val="21"/>
                <w:szCs w:val="21"/>
                <w:u w:val="none"/>
                <w:lang w:val="en-US" w:eastAsia="zh-CN"/>
              </w:rPr>
              <w:t>4</w:t>
            </w:r>
            <w:r>
              <w:rPr>
                <w:rFonts w:hint="eastAsia" w:ascii="仿宋" w:hAnsi="仿宋" w:eastAsia="仿宋" w:cs="仿宋"/>
                <w:b w:val="0"/>
                <w:bCs w:val="0"/>
                <w:color w:val="auto"/>
                <w:sz w:val="21"/>
                <w:szCs w:val="21"/>
                <w:u w:val="none"/>
              </w:rPr>
              <w:t>分）</w:t>
            </w:r>
          </w:p>
        </w:tc>
        <w:tc>
          <w:tcPr>
            <w:tcW w:w="4567" w:type="pct"/>
            <w:gridSpan w:val="3"/>
            <w:vAlign w:val="center"/>
          </w:tcPr>
          <w:p w14:paraId="7CD71F0C">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color w:val="auto"/>
                <w:sz w:val="21"/>
                <w:szCs w:val="21"/>
                <w:u w:val="none"/>
              </w:rPr>
            </w:pPr>
            <w:r>
              <w:rPr>
                <w:rFonts w:hint="eastAsia" w:ascii="仿宋" w:hAnsi="仿宋" w:eastAsia="仿宋" w:cs="仿宋"/>
                <w:b/>
                <w:bCs/>
                <w:color w:val="auto"/>
                <w:sz w:val="21"/>
                <w:szCs w:val="21"/>
                <w:u w:val="none"/>
                <w:lang w:val="en-US" w:eastAsia="zh-CN"/>
              </w:rPr>
              <w:t>基础性指标</w:t>
            </w:r>
          </w:p>
        </w:tc>
      </w:tr>
      <w:tr w14:paraId="4A2EF16D">
        <w:trPr>
          <w:trHeight w:val="90" w:hRule="atLeast"/>
        </w:trPr>
        <w:tc>
          <w:tcPr>
            <w:tcW w:w="432" w:type="pct"/>
            <w:vMerge w:val="continue"/>
            <w:vAlign w:val="center"/>
          </w:tcPr>
          <w:p w14:paraId="2E2DDC9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 w:hAnsi="仿宋" w:eastAsia="仿宋" w:cs="仿宋"/>
                <w:b w:val="0"/>
                <w:bCs w:val="0"/>
                <w:color w:val="auto"/>
                <w:sz w:val="21"/>
                <w:szCs w:val="21"/>
                <w:u w:val="none"/>
              </w:rPr>
            </w:pPr>
          </w:p>
        </w:tc>
        <w:tc>
          <w:tcPr>
            <w:tcW w:w="543" w:type="pct"/>
            <w:shd w:val="clear" w:color="auto" w:fill="auto"/>
            <w:vAlign w:val="center"/>
          </w:tcPr>
          <w:p w14:paraId="05A5438D">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专业建设成效</w:t>
            </w:r>
          </w:p>
          <w:p w14:paraId="3D7D4916">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（4分）</w:t>
            </w:r>
          </w:p>
        </w:tc>
        <w:tc>
          <w:tcPr>
            <w:tcW w:w="3566" w:type="pct"/>
            <w:shd w:val="clear" w:color="auto" w:fill="auto"/>
            <w:vAlign w:val="center"/>
          </w:tcPr>
          <w:p w14:paraId="66E2FA29">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bCs/>
                <w:color w:val="auto"/>
                <w:sz w:val="21"/>
                <w:szCs w:val="21"/>
                <w:u w:val="none"/>
                <w:lang w:val="en-US" w:eastAsia="zh-CN"/>
              </w:rPr>
              <w:t>1</w:t>
            </w:r>
            <w:r>
              <w:rPr>
                <w:rFonts w:hint="eastAsia" w:ascii="仿宋" w:hAnsi="仿宋" w:eastAsia="仿宋" w:cs="仿宋"/>
                <w:b/>
                <w:bCs/>
                <w:color w:val="auto"/>
                <w:sz w:val="21"/>
                <w:szCs w:val="21"/>
                <w:u w:val="none"/>
              </w:rPr>
              <w:t>.</w:t>
            </w:r>
            <w:r>
              <w:rPr>
                <w:rFonts w:hint="eastAsia" w:ascii="仿宋" w:hAnsi="仿宋" w:eastAsia="仿宋" w:cs="仿宋"/>
                <w:b w:val="0"/>
                <w:bCs w:val="0"/>
                <w:color w:val="auto"/>
                <w:sz w:val="21"/>
                <w:szCs w:val="21"/>
                <w:u w:val="none"/>
              </w:rPr>
              <w:t>专业群建设成效</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lang w:val="en-US" w:eastAsia="zh-CN"/>
              </w:rPr>
              <w:t>2分</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w:t>
            </w:r>
            <w:r>
              <w:rPr>
                <w:rFonts w:hint="eastAsia" w:ascii="仿宋" w:hAnsi="仿宋" w:eastAsia="仿宋" w:cs="仿宋"/>
                <w:b w:val="0"/>
                <w:bCs w:val="0"/>
                <w:color w:val="auto"/>
                <w:sz w:val="21"/>
                <w:szCs w:val="21"/>
                <w:u w:val="none"/>
                <w:lang w:val="en-US" w:eastAsia="zh-CN"/>
              </w:rPr>
              <w:t>省级优秀专业群得2分，校级优秀专业群得1分，校级合格专业群得0.5分</w:t>
            </w:r>
            <w:r>
              <w:rPr>
                <w:rFonts w:hint="eastAsia" w:ascii="仿宋" w:hAnsi="仿宋" w:eastAsia="仿宋" w:cs="仿宋"/>
                <w:b w:val="0"/>
                <w:bCs w:val="0"/>
                <w:color w:val="auto"/>
                <w:sz w:val="21"/>
                <w:szCs w:val="21"/>
                <w:u w:val="none"/>
              </w:rPr>
              <w:t>。</w:t>
            </w:r>
          </w:p>
          <w:p w14:paraId="5DBE7B8B">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2</w:t>
            </w:r>
            <w:r>
              <w:rPr>
                <w:rFonts w:hint="eastAsia" w:ascii="仿宋" w:hAnsi="仿宋" w:eastAsia="仿宋" w:cs="仿宋"/>
                <w:b/>
                <w:bCs/>
                <w:color w:val="auto"/>
                <w:sz w:val="21"/>
                <w:szCs w:val="21"/>
                <w:u w:val="none"/>
              </w:rPr>
              <w:t>.</w:t>
            </w:r>
            <w:r>
              <w:rPr>
                <w:rFonts w:hint="eastAsia" w:ascii="仿宋" w:hAnsi="仿宋" w:eastAsia="仿宋" w:cs="仿宋"/>
                <w:b w:val="0"/>
                <w:bCs w:val="0"/>
                <w:color w:val="auto"/>
                <w:sz w:val="21"/>
                <w:szCs w:val="21"/>
                <w:u w:val="none"/>
              </w:rPr>
              <w:t>专业建设量化</w:t>
            </w:r>
            <w:r>
              <w:rPr>
                <w:rFonts w:hint="eastAsia" w:ascii="仿宋" w:hAnsi="仿宋" w:eastAsia="仿宋" w:cs="仿宋"/>
                <w:b w:val="0"/>
                <w:bCs w:val="0"/>
                <w:color w:val="auto"/>
                <w:sz w:val="21"/>
                <w:szCs w:val="21"/>
                <w:u w:val="none"/>
                <w:lang w:eastAsia="zh-CN"/>
              </w:rPr>
              <w:t>评价（</w:t>
            </w:r>
            <w:r>
              <w:rPr>
                <w:rFonts w:hint="eastAsia" w:ascii="仿宋" w:hAnsi="仿宋" w:eastAsia="仿宋" w:cs="仿宋"/>
                <w:b w:val="0"/>
                <w:bCs w:val="0"/>
                <w:color w:val="auto"/>
                <w:sz w:val="21"/>
                <w:szCs w:val="21"/>
                <w:u w:val="none"/>
                <w:lang w:val="en-US" w:eastAsia="zh-CN"/>
              </w:rPr>
              <w:t>2分</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w:t>
            </w:r>
            <w:r>
              <w:rPr>
                <w:rFonts w:hint="eastAsia" w:ascii="仿宋" w:hAnsi="仿宋" w:eastAsia="仿宋" w:cs="仿宋"/>
                <w:b w:val="0"/>
                <w:bCs w:val="0"/>
                <w:color w:val="auto"/>
                <w:sz w:val="21"/>
                <w:szCs w:val="21"/>
                <w:u w:val="none"/>
                <w:lang w:val="en-US" w:eastAsia="zh-CN"/>
              </w:rPr>
              <w:t>依据2023-2024学年学校专业量化评价排序情况，按格次赋分法赋分。</w:t>
            </w:r>
          </w:p>
        </w:tc>
        <w:tc>
          <w:tcPr>
            <w:tcW w:w="457" w:type="pct"/>
            <w:vMerge w:val="restart"/>
            <w:shd w:val="clear" w:color="auto" w:fill="auto"/>
            <w:vAlign w:val="center"/>
          </w:tcPr>
          <w:p w14:paraId="74CA5394">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教务处（课程中心）</w:t>
            </w:r>
          </w:p>
        </w:tc>
      </w:tr>
      <w:tr w14:paraId="3F2F0461">
        <w:trPr>
          <w:trHeight w:val="90" w:hRule="atLeast"/>
        </w:trPr>
        <w:tc>
          <w:tcPr>
            <w:tcW w:w="432" w:type="pct"/>
            <w:vMerge w:val="continue"/>
          </w:tcPr>
          <w:p w14:paraId="033068F7">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01822F70">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rPr>
              <w:t>课程</w:t>
            </w:r>
            <w:r>
              <w:rPr>
                <w:rFonts w:hint="eastAsia" w:ascii="仿宋" w:hAnsi="仿宋" w:eastAsia="仿宋" w:cs="仿宋"/>
                <w:b w:val="0"/>
                <w:bCs w:val="0"/>
                <w:color w:val="auto"/>
                <w:sz w:val="21"/>
                <w:szCs w:val="21"/>
                <w:highlight w:val="none"/>
                <w:u w:val="none"/>
                <w:lang w:val="en-US" w:eastAsia="zh-CN"/>
              </w:rPr>
              <w:t>应用与管理（1分）</w:t>
            </w:r>
          </w:p>
        </w:tc>
        <w:tc>
          <w:tcPr>
            <w:tcW w:w="3566" w:type="pct"/>
            <w:vAlign w:val="center"/>
          </w:tcPr>
          <w:p w14:paraId="225A0A6A">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1.</w:t>
            </w:r>
            <w:r>
              <w:rPr>
                <w:rFonts w:hint="eastAsia" w:ascii="仿宋" w:hAnsi="仿宋" w:eastAsia="仿宋" w:cs="仿宋"/>
                <w:b w:val="0"/>
                <w:bCs w:val="0"/>
                <w:color w:val="auto"/>
                <w:sz w:val="21"/>
                <w:szCs w:val="21"/>
                <w:u w:val="none"/>
                <w:lang w:val="en-US" w:eastAsia="zh-CN"/>
              </w:rPr>
              <w:t>建有省级及以上在线精品课程和一流核心课程并持续运用的，评价合格得0.5分。</w:t>
            </w:r>
          </w:p>
          <w:p w14:paraId="31595891">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bCs/>
                <w:color w:val="auto"/>
                <w:sz w:val="21"/>
                <w:szCs w:val="21"/>
                <w:u w:val="none"/>
                <w:lang w:val="en-US" w:eastAsia="zh-CN"/>
              </w:rPr>
              <w:t>2.</w:t>
            </w:r>
            <w:r>
              <w:rPr>
                <w:rFonts w:hint="eastAsia" w:ascii="仿宋" w:hAnsi="仿宋" w:eastAsia="仿宋" w:cs="仿宋"/>
                <w:b w:val="0"/>
                <w:bCs w:val="0"/>
                <w:color w:val="auto"/>
                <w:sz w:val="21"/>
                <w:szCs w:val="21"/>
                <w:u w:val="none"/>
                <w:lang w:val="en-US" w:eastAsia="zh-CN"/>
              </w:rPr>
              <w:t>在智慧职教平台建成并在MOOC学院开课的慕课占已建成慕课比例的40%或较往年增长10%的，得0.5分；占已建成慕课比例的30%或较往年增长5%的，得0.3分；其余不得分。</w:t>
            </w:r>
          </w:p>
        </w:tc>
        <w:tc>
          <w:tcPr>
            <w:tcW w:w="457" w:type="pct"/>
            <w:vMerge w:val="continue"/>
            <w:vAlign w:val="center"/>
          </w:tcPr>
          <w:p w14:paraId="31B07DB2">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p>
        </w:tc>
      </w:tr>
      <w:tr w14:paraId="12D46D4F">
        <w:trPr>
          <w:trHeight w:val="90" w:hRule="atLeast"/>
        </w:trPr>
        <w:tc>
          <w:tcPr>
            <w:tcW w:w="432" w:type="pct"/>
            <w:vMerge w:val="continue"/>
          </w:tcPr>
          <w:p w14:paraId="4303A980">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2A19C7D1">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教材管理</w:t>
            </w:r>
          </w:p>
          <w:p w14:paraId="70102830">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（1分）</w:t>
            </w:r>
          </w:p>
        </w:tc>
        <w:tc>
          <w:tcPr>
            <w:tcW w:w="3566" w:type="pct"/>
            <w:vAlign w:val="center"/>
          </w:tcPr>
          <w:p w14:paraId="1038A1DD">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rPr>
              <w:t>根据当年教材选用情况进行赋分。所有应订教材课程选用</w:t>
            </w:r>
            <w:r>
              <w:rPr>
                <w:rFonts w:hint="eastAsia" w:ascii="仿宋" w:hAnsi="仿宋" w:eastAsia="仿宋" w:cs="仿宋"/>
                <w:b w:val="0"/>
                <w:bCs w:val="0"/>
                <w:color w:val="auto"/>
                <w:sz w:val="21"/>
                <w:szCs w:val="21"/>
                <w:u w:val="none"/>
                <w:lang w:val="en-US" w:eastAsia="zh-CN"/>
              </w:rPr>
              <w:t>省级及以上</w:t>
            </w:r>
            <w:r>
              <w:rPr>
                <w:rFonts w:hint="eastAsia" w:ascii="仿宋" w:hAnsi="仿宋" w:eastAsia="仿宋" w:cs="仿宋"/>
                <w:b w:val="0"/>
                <w:bCs w:val="0"/>
                <w:color w:val="auto"/>
                <w:sz w:val="21"/>
                <w:szCs w:val="21"/>
                <w:u w:val="none"/>
              </w:rPr>
              <w:t>规划教材比例达到</w:t>
            </w:r>
            <w:r>
              <w:rPr>
                <w:rFonts w:hint="eastAsia" w:ascii="仿宋" w:hAnsi="仿宋" w:eastAsia="仿宋" w:cs="仿宋"/>
                <w:b w:val="0"/>
                <w:bCs w:val="0"/>
                <w:color w:val="auto"/>
                <w:sz w:val="21"/>
                <w:szCs w:val="21"/>
                <w:u w:val="none"/>
                <w:lang w:val="en-US" w:eastAsia="zh-CN"/>
              </w:rPr>
              <w:t>80</w:t>
            </w:r>
            <w:r>
              <w:rPr>
                <w:rFonts w:hint="eastAsia" w:ascii="仿宋" w:hAnsi="仿宋" w:eastAsia="仿宋" w:cs="仿宋"/>
                <w:b w:val="0"/>
                <w:bCs w:val="0"/>
                <w:color w:val="auto"/>
                <w:sz w:val="21"/>
                <w:szCs w:val="21"/>
                <w:u w:val="none"/>
              </w:rPr>
              <w:t>%</w:t>
            </w:r>
            <w:r>
              <w:rPr>
                <w:rFonts w:hint="eastAsia" w:ascii="仿宋" w:hAnsi="仿宋" w:eastAsia="仿宋" w:cs="仿宋"/>
                <w:b w:val="0"/>
                <w:bCs w:val="0"/>
                <w:color w:val="auto"/>
                <w:sz w:val="21"/>
                <w:szCs w:val="21"/>
                <w:u w:val="none"/>
                <w:lang w:val="en-US" w:eastAsia="zh-CN"/>
              </w:rPr>
              <w:t>或较往年增长10%的</w:t>
            </w:r>
            <w:r>
              <w:rPr>
                <w:rFonts w:hint="eastAsia" w:ascii="仿宋" w:hAnsi="仿宋" w:eastAsia="仿宋" w:cs="仿宋"/>
                <w:b w:val="0"/>
                <w:bCs w:val="0"/>
                <w:color w:val="auto"/>
                <w:sz w:val="21"/>
                <w:szCs w:val="21"/>
                <w:u w:val="none"/>
              </w:rPr>
              <w:t>，得1分；选用</w:t>
            </w:r>
            <w:r>
              <w:rPr>
                <w:rFonts w:hint="eastAsia" w:ascii="仿宋" w:hAnsi="仿宋" w:eastAsia="仿宋" w:cs="仿宋"/>
                <w:b w:val="0"/>
                <w:bCs w:val="0"/>
                <w:color w:val="auto"/>
                <w:sz w:val="21"/>
                <w:szCs w:val="21"/>
                <w:u w:val="none"/>
                <w:lang w:val="en-US" w:eastAsia="zh-CN"/>
              </w:rPr>
              <w:t>省级及以上</w:t>
            </w:r>
            <w:r>
              <w:rPr>
                <w:rFonts w:hint="eastAsia" w:ascii="仿宋" w:hAnsi="仿宋" w:eastAsia="仿宋" w:cs="仿宋"/>
                <w:b w:val="0"/>
                <w:bCs w:val="0"/>
                <w:color w:val="auto"/>
                <w:sz w:val="21"/>
                <w:szCs w:val="21"/>
                <w:u w:val="none"/>
              </w:rPr>
              <w:t>规划教材比例达到</w:t>
            </w:r>
            <w:r>
              <w:rPr>
                <w:rFonts w:hint="eastAsia" w:ascii="仿宋" w:hAnsi="仿宋" w:eastAsia="仿宋" w:cs="仿宋"/>
                <w:b w:val="0"/>
                <w:bCs w:val="0"/>
                <w:color w:val="auto"/>
                <w:sz w:val="21"/>
                <w:szCs w:val="21"/>
                <w:u w:val="none"/>
                <w:lang w:val="en-US" w:eastAsia="zh-CN"/>
              </w:rPr>
              <w:t>50</w:t>
            </w:r>
            <w:r>
              <w:rPr>
                <w:rFonts w:hint="eastAsia" w:ascii="仿宋" w:hAnsi="仿宋" w:eastAsia="仿宋" w:cs="仿宋"/>
                <w:b w:val="0"/>
                <w:bCs w:val="0"/>
                <w:color w:val="auto"/>
                <w:sz w:val="21"/>
                <w:szCs w:val="21"/>
                <w:u w:val="none"/>
              </w:rPr>
              <w:t>%</w:t>
            </w:r>
            <w:r>
              <w:rPr>
                <w:rFonts w:hint="eastAsia" w:ascii="仿宋" w:hAnsi="仿宋" w:eastAsia="仿宋" w:cs="仿宋"/>
                <w:b w:val="0"/>
                <w:bCs w:val="0"/>
                <w:color w:val="auto"/>
                <w:sz w:val="21"/>
                <w:szCs w:val="21"/>
                <w:u w:val="none"/>
                <w:lang w:val="en-US" w:eastAsia="zh-CN"/>
              </w:rPr>
              <w:t>或较往年增长5%</w:t>
            </w:r>
            <w:r>
              <w:rPr>
                <w:rFonts w:hint="eastAsia" w:ascii="仿宋" w:hAnsi="仿宋" w:eastAsia="仿宋" w:cs="仿宋"/>
                <w:b w:val="0"/>
                <w:bCs w:val="0"/>
                <w:color w:val="auto"/>
                <w:sz w:val="21"/>
                <w:szCs w:val="21"/>
                <w:u w:val="none"/>
              </w:rPr>
              <w:t>的，得0.5分；教材（讲义）选用未覆盖当年所有应订教材课程</w:t>
            </w:r>
            <w:r>
              <w:rPr>
                <w:rFonts w:hint="eastAsia" w:ascii="仿宋" w:hAnsi="仿宋" w:eastAsia="仿宋" w:cs="仿宋"/>
                <w:b w:val="0"/>
                <w:bCs w:val="0"/>
                <w:color w:val="auto"/>
                <w:sz w:val="21"/>
                <w:szCs w:val="21"/>
                <w:u w:val="none"/>
                <w:lang w:val="en-US" w:eastAsia="zh-CN"/>
              </w:rPr>
              <w:t>等其余情况</w:t>
            </w:r>
            <w:r>
              <w:rPr>
                <w:rFonts w:hint="eastAsia" w:ascii="仿宋" w:hAnsi="仿宋" w:eastAsia="仿宋" w:cs="仿宋"/>
                <w:b w:val="0"/>
                <w:bCs w:val="0"/>
                <w:color w:val="auto"/>
                <w:sz w:val="21"/>
                <w:szCs w:val="21"/>
                <w:u w:val="none"/>
              </w:rPr>
              <w:t>不得分。</w:t>
            </w:r>
          </w:p>
        </w:tc>
        <w:tc>
          <w:tcPr>
            <w:tcW w:w="457" w:type="pct"/>
            <w:vMerge w:val="continue"/>
            <w:vAlign w:val="center"/>
          </w:tcPr>
          <w:p w14:paraId="4A3FA164">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p>
        </w:tc>
      </w:tr>
      <w:tr w14:paraId="0496FE09">
        <w:trPr>
          <w:trHeight w:val="580" w:hRule="atLeast"/>
        </w:trPr>
        <w:tc>
          <w:tcPr>
            <w:tcW w:w="432" w:type="pct"/>
            <w:vMerge w:val="continue"/>
          </w:tcPr>
          <w:p w14:paraId="1436329F">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3199E85A">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职业技能考证</w:t>
            </w:r>
          </w:p>
          <w:p w14:paraId="5558AD4E">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eastAsia="zh-CN"/>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2.5分</w:t>
            </w:r>
            <w:r>
              <w:rPr>
                <w:rFonts w:hint="eastAsia" w:ascii="仿宋" w:hAnsi="仿宋" w:eastAsia="仿宋" w:cs="仿宋"/>
                <w:b w:val="0"/>
                <w:bCs w:val="0"/>
                <w:color w:val="auto"/>
                <w:sz w:val="21"/>
                <w:szCs w:val="21"/>
                <w:highlight w:val="none"/>
                <w:u w:val="none"/>
                <w:lang w:eastAsia="zh-CN"/>
              </w:rPr>
              <w:t>）</w:t>
            </w:r>
          </w:p>
        </w:tc>
        <w:tc>
          <w:tcPr>
            <w:tcW w:w="3566" w:type="pct"/>
            <w:shd w:val="clear" w:color="auto" w:fill="auto"/>
            <w:vAlign w:val="center"/>
          </w:tcPr>
          <w:p w14:paraId="27B01D17">
            <w:pPr>
              <w:keepNext w:val="0"/>
              <w:keepLines w:val="0"/>
              <w:pageBreakBefore w:val="0"/>
              <w:widowControl w:val="0"/>
              <w:numPr>
                <w:ilvl w:val="0"/>
                <w:numId w:val="0"/>
              </w:numPr>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kern w:val="0"/>
                <w:sz w:val="21"/>
                <w:szCs w:val="21"/>
                <w:highlight w:val="none"/>
                <w:u w:val="none"/>
                <w:lang w:val="en-US" w:eastAsia="zh-CN" w:bidi="ar"/>
                <w:woUserID w:val="2"/>
              </w:rPr>
            </w:pPr>
            <w:r>
              <w:rPr>
                <w:rFonts w:hint="eastAsia" w:ascii="仿宋" w:hAnsi="仿宋" w:eastAsia="仿宋" w:cs="仿宋"/>
                <w:b/>
                <w:bCs/>
                <w:color w:val="auto"/>
                <w:kern w:val="0"/>
                <w:sz w:val="21"/>
                <w:szCs w:val="21"/>
                <w:highlight w:val="none"/>
                <w:u w:val="none"/>
                <w:lang w:val="en-US" w:eastAsia="zh-CN" w:bidi="ar"/>
                <w:woUserID w:val="2"/>
              </w:rPr>
              <w:t>1.</w:t>
            </w:r>
            <w:r>
              <w:rPr>
                <w:rFonts w:hint="eastAsia" w:ascii="仿宋" w:hAnsi="仿宋" w:eastAsia="仿宋" w:cs="仿宋"/>
                <w:b w:val="0"/>
                <w:bCs w:val="0"/>
                <w:color w:val="auto"/>
                <w:kern w:val="0"/>
                <w:sz w:val="21"/>
                <w:szCs w:val="21"/>
                <w:highlight w:val="none"/>
                <w:u w:val="none"/>
                <w:lang w:val="en-US" w:eastAsia="zh-CN" w:bidi="ar"/>
                <w:woUserID w:val="2"/>
              </w:rPr>
              <w:t>当年毕业生获得中高等级职业技能证书比例达到90%，得1.5分；达到60%，得1分；达到30%，得0.5分；其余不得分。</w:t>
            </w:r>
          </w:p>
          <w:p w14:paraId="2D8F2B74">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bCs/>
                <w:color w:val="auto"/>
                <w:kern w:val="0"/>
                <w:sz w:val="21"/>
                <w:szCs w:val="21"/>
                <w:highlight w:val="none"/>
                <w:u w:val="none"/>
                <w:lang w:val="en-US" w:eastAsia="zh-CN" w:bidi="ar"/>
                <w:woUserID w:val="2"/>
              </w:rPr>
              <w:t>2.</w:t>
            </w:r>
            <w:r>
              <w:rPr>
                <w:rFonts w:hint="eastAsia" w:ascii="仿宋" w:hAnsi="仿宋" w:eastAsia="仿宋" w:cs="仿宋"/>
                <w:b w:val="0"/>
                <w:bCs w:val="0"/>
                <w:color w:val="auto"/>
                <w:kern w:val="0"/>
                <w:sz w:val="21"/>
                <w:szCs w:val="21"/>
                <w:highlight w:val="none"/>
                <w:u w:val="none"/>
                <w:lang w:val="en-US" w:eastAsia="zh-CN" w:bidi="ar"/>
                <w:woUserID w:val="2"/>
              </w:rPr>
              <w:t>当年毕业生获得高等级职业技能证书比例达到10%，得1分；有取得高等级职业技能证书，得0.5分；未取得高等级职业技能证书的，不得分。</w:t>
            </w:r>
          </w:p>
        </w:tc>
        <w:tc>
          <w:tcPr>
            <w:tcW w:w="457" w:type="pct"/>
            <w:vMerge w:val="continue"/>
            <w:vAlign w:val="center"/>
          </w:tcPr>
          <w:p w14:paraId="2DFCF713">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p>
        </w:tc>
      </w:tr>
      <w:tr w14:paraId="66CB81C8">
        <w:trPr>
          <w:trHeight w:val="90" w:hRule="atLeast"/>
        </w:trPr>
        <w:tc>
          <w:tcPr>
            <w:tcW w:w="432" w:type="pct"/>
            <w:vMerge w:val="continue"/>
          </w:tcPr>
          <w:p w14:paraId="57A539FB">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32B0D7DF">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日常教学管理</w:t>
            </w:r>
          </w:p>
          <w:p w14:paraId="5724BB4B">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eastAsia="zh-CN"/>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1分</w:t>
            </w:r>
            <w:r>
              <w:rPr>
                <w:rFonts w:hint="eastAsia" w:ascii="仿宋" w:hAnsi="仿宋" w:eastAsia="仿宋" w:cs="仿宋"/>
                <w:b w:val="0"/>
                <w:bCs w:val="0"/>
                <w:color w:val="auto"/>
                <w:sz w:val="21"/>
                <w:szCs w:val="21"/>
                <w:highlight w:val="none"/>
                <w:u w:val="none"/>
                <w:lang w:eastAsia="zh-CN"/>
              </w:rPr>
              <w:t>）</w:t>
            </w:r>
          </w:p>
        </w:tc>
        <w:tc>
          <w:tcPr>
            <w:tcW w:w="3566" w:type="pct"/>
            <w:vAlign w:val="center"/>
          </w:tcPr>
          <w:p w14:paraId="54BA458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00" w:lineRule="exact"/>
              <w:ind w:left="0" w:right="0"/>
              <w:jc w:val="both"/>
              <w:textAlignment w:val="auto"/>
              <w:rPr>
                <w:rFonts w:hint="eastAsia" w:ascii="仿宋" w:hAnsi="仿宋" w:eastAsia="仿宋" w:cs="仿宋"/>
                <w:b w:val="0"/>
                <w:bCs w:val="0"/>
                <w:color w:val="auto"/>
                <w:sz w:val="21"/>
                <w:szCs w:val="21"/>
                <w:u w:val="none"/>
                <w:lang w:val="en-US"/>
              </w:rPr>
            </w:pPr>
            <w:r>
              <w:rPr>
                <w:rFonts w:hint="eastAsia" w:ascii="仿宋" w:hAnsi="仿宋" w:eastAsia="仿宋" w:cs="仿宋"/>
                <w:b w:val="0"/>
                <w:bCs w:val="0"/>
                <w:color w:val="auto"/>
                <w:kern w:val="0"/>
                <w:sz w:val="21"/>
                <w:szCs w:val="21"/>
                <w:u w:val="none"/>
                <w:lang w:val="en-US" w:eastAsia="zh-CN" w:bidi="ar"/>
                <w:woUserID w:val="2"/>
              </w:rPr>
              <w:t>根据当年学院日常教学运行管理情况，按格次赋分法赋分。发生教学事故，每人次扣0.5分。</w:t>
            </w:r>
          </w:p>
        </w:tc>
        <w:tc>
          <w:tcPr>
            <w:tcW w:w="457" w:type="pct"/>
            <w:vMerge w:val="continue"/>
            <w:vAlign w:val="center"/>
          </w:tcPr>
          <w:p w14:paraId="4C913AD8">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p>
        </w:tc>
      </w:tr>
      <w:tr w14:paraId="13667B96">
        <w:trPr>
          <w:trHeight w:val="90" w:hRule="atLeast"/>
        </w:trPr>
        <w:tc>
          <w:tcPr>
            <w:tcW w:w="432" w:type="pct"/>
            <w:vMerge w:val="continue"/>
          </w:tcPr>
          <w:p w14:paraId="52469D67">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4567" w:type="pct"/>
            <w:gridSpan w:val="3"/>
            <w:vAlign w:val="center"/>
          </w:tcPr>
          <w:p w14:paraId="2080E2E0">
            <w:pPr>
              <w:keepNext w:val="0"/>
              <w:keepLines w:val="0"/>
              <w:pageBreakBefore w:val="0"/>
              <w:widowControl w:val="0"/>
              <w:kinsoku/>
              <w:wordWrap/>
              <w:overflowPunct/>
              <w:topLinePunct w:val="0"/>
              <w:autoSpaceDN/>
              <w:bidi w:val="0"/>
              <w:adjustRightInd/>
              <w:snapToGrid/>
              <w:spacing w:line="30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发展性指标</w:t>
            </w:r>
          </w:p>
        </w:tc>
      </w:tr>
      <w:tr w14:paraId="7B5B0A5B">
        <w:trPr>
          <w:trHeight w:val="770" w:hRule="atLeast"/>
        </w:trPr>
        <w:tc>
          <w:tcPr>
            <w:tcW w:w="432" w:type="pct"/>
            <w:vMerge w:val="continue"/>
          </w:tcPr>
          <w:p w14:paraId="08797E9F">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4BF0486E">
            <w:pPr>
              <w:keepNext w:val="0"/>
              <w:keepLines w:val="0"/>
              <w:pageBreakBefore w:val="0"/>
              <w:widowControl w:val="0"/>
              <w:numPr>
                <w:ilvl w:val="0"/>
                <w:numId w:val="0"/>
              </w:numPr>
              <w:kinsoku/>
              <w:wordWrap/>
              <w:overflowPunct/>
              <w:topLinePunct w:val="0"/>
              <w:autoSpaceDN/>
              <w:bidi w:val="0"/>
              <w:adjustRightInd/>
              <w:snapToGrid/>
              <w:spacing w:line="240" w:lineRule="exact"/>
              <w:ind w:leftChars="0"/>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lang w:val="en-US" w:eastAsia="zh-CN"/>
              </w:rPr>
              <w:t>课程</w:t>
            </w:r>
            <w:r>
              <w:rPr>
                <w:rFonts w:hint="eastAsia" w:ascii="仿宋" w:hAnsi="仿宋" w:eastAsia="仿宋" w:cs="仿宋"/>
                <w:b w:val="0"/>
                <w:bCs w:val="0"/>
                <w:color w:val="auto"/>
                <w:sz w:val="21"/>
                <w:szCs w:val="21"/>
                <w:u w:val="none"/>
              </w:rPr>
              <w:t>建设成效</w:t>
            </w:r>
          </w:p>
          <w:p w14:paraId="24941258">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u w:val="none"/>
                <w:lang w:eastAsia="zh-CN"/>
              </w:rPr>
            </w:pP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lang w:val="en-US" w:eastAsia="zh-CN"/>
              </w:rPr>
              <w:t>3分</w:t>
            </w:r>
            <w:r>
              <w:rPr>
                <w:rFonts w:hint="eastAsia" w:ascii="仿宋" w:hAnsi="仿宋" w:eastAsia="仿宋" w:cs="仿宋"/>
                <w:b w:val="0"/>
                <w:bCs w:val="0"/>
                <w:color w:val="auto"/>
                <w:sz w:val="21"/>
                <w:szCs w:val="21"/>
                <w:u w:val="none"/>
                <w:lang w:eastAsia="zh-CN"/>
              </w:rPr>
              <w:t>）</w:t>
            </w:r>
          </w:p>
        </w:tc>
        <w:tc>
          <w:tcPr>
            <w:tcW w:w="3566" w:type="pct"/>
            <w:vAlign w:val="center"/>
          </w:tcPr>
          <w:p w14:paraId="1F18267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00" w:lineRule="exact"/>
              <w:ind w:left="0" w:right="0"/>
              <w:jc w:val="both"/>
              <w:textAlignment w:val="auto"/>
              <w:rPr>
                <w:rFonts w:hint="eastAsia" w:ascii="仿宋" w:hAnsi="仿宋" w:eastAsia="仿宋" w:cs="仿宋"/>
                <w:b w:val="0"/>
                <w:bCs w:val="0"/>
                <w:color w:val="auto"/>
                <w:kern w:val="0"/>
                <w:sz w:val="21"/>
                <w:szCs w:val="21"/>
                <w:u w:val="none"/>
                <w:lang w:val="en-US" w:eastAsia="zh-CN" w:bidi="ar"/>
                <w:woUserID w:val="2"/>
              </w:rPr>
            </w:pPr>
            <w:r>
              <w:rPr>
                <w:rFonts w:hint="eastAsia" w:ascii="仿宋" w:hAnsi="仿宋" w:eastAsia="仿宋" w:cs="仿宋"/>
                <w:b w:val="0"/>
                <w:bCs w:val="0"/>
                <w:color w:val="auto"/>
                <w:sz w:val="21"/>
                <w:szCs w:val="21"/>
                <w:u w:val="none"/>
                <w:lang w:val="en-US" w:eastAsia="zh-CN"/>
              </w:rPr>
              <w:t>主持在线精品课程、专业教学资源库、虚拟仿真基地建设等，认定省级及以上为A；参与以上项目建设，认定省级及以上为B；主持或参与以上项目建设，认定市级为C；其余不得分。</w:t>
            </w:r>
          </w:p>
        </w:tc>
        <w:tc>
          <w:tcPr>
            <w:tcW w:w="457" w:type="pct"/>
            <w:vMerge w:val="restart"/>
            <w:vAlign w:val="center"/>
          </w:tcPr>
          <w:p w14:paraId="59E6D505">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教务处（课程中心）</w:t>
            </w:r>
          </w:p>
          <w:p w14:paraId="77CB2B87">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p>
        </w:tc>
      </w:tr>
      <w:tr w14:paraId="238575B0">
        <w:trPr>
          <w:trHeight w:val="90" w:hRule="atLeast"/>
        </w:trPr>
        <w:tc>
          <w:tcPr>
            <w:tcW w:w="432" w:type="pct"/>
            <w:vMerge w:val="continue"/>
          </w:tcPr>
          <w:p w14:paraId="2A57E784">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2E236FAD">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教材建设</w:t>
            </w:r>
          </w:p>
          <w:p w14:paraId="358E5839">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（2分）</w:t>
            </w:r>
          </w:p>
        </w:tc>
        <w:tc>
          <w:tcPr>
            <w:tcW w:w="3566" w:type="pct"/>
            <w:vAlign w:val="center"/>
          </w:tcPr>
          <w:p w14:paraId="627DE315">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获国家级规划教材建设项目为A；省级重点教材2部及以上为B；其余教材建设项目5部及以上为C；其余不得分。</w:t>
            </w:r>
          </w:p>
        </w:tc>
        <w:tc>
          <w:tcPr>
            <w:tcW w:w="457" w:type="pct"/>
            <w:vMerge w:val="continue"/>
            <w:vAlign w:val="center"/>
          </w:tcPr>
          <w:p w14:paraId="094BA5E6">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p>
        </w:tc>
      </w:tr>
      <w:tr w14:paraId="2C461DF2">
        <w:trPr>
          <w:trHeight w:val="1150" w:hRule="atLeast"/>
        </w:trPr>
        <w:tc>
          <w:tcPr>
            <w:tcW w:w="432" w:type="pct"/>
            <w:vMerge w:val="continue"/>
          </w:tcPr>
          <w:p w14:paraId="78221A4B">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shd w:val="clear" w:color="auto" w:fill="auto"/>
            <w:vAlign w:val="center"/>
          </w:tcPr>
          <w:p w14:paraId="4AC13C0C">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教学成果与案例</w:t>
            </w: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3.5分</w:t>
            </w:r>
            <w:r>
              <w:rPr>
                <w:rFonts w:hint="eastAsia" w:ascii="仿宋" w:hAnsi="仿宋" w:eastAsia="仿宋" w:cs="仿宋"/>
                <w:b w:val="0"/>
                <w:bCs w:val="0"/>
                <w:color w:val="auto"/>
                <w:sz w:val="21"/>
                <w:szCs w:val="21"/>
                <w:highlight w:val="none"/>
                <w:u w:val="none"/>
                <w:lang w:eastAsia="zh-CN"/>
              </w:rPr>
              <w:t>）</w:t>
            </w:r>
          </w:p>
        </w:tc>
        <w:tc>
          <w:tcPr>
            <w:tcW w:w="3566" w:type="pct"/>
            <w:shd w:val="clear" w:color="auto" w:fill="auto"/>
            <w:vAlign w:val="center"/>
          </w:tcPr>
          <w:p w14:paraId="7F1A3D9E">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教学成果奖或优秀教材奖获国家级或省级一等奖及以上为A；教学成果奖或优秀教材奖获省级、教学优秀案例或课程思政教学案例获国家级为B；教学成果奖或优秀教材奖获市级、教学优秀案例或课程思政教学案例获省级为C；其余不得分。</w:t>
            </w:r>
          </w:p>
        </w:tc>
        <w:tc>
          <w:tcPr>
            <w:tcW w:w="457" w:type="pct"/>
            <w:vMerge w:val="continue"/>
            <w:shd w:val="clear" w:color="auto" w:fill="auto"/>
            <w:vAlign w:val="center"/>
          </w:tcPr>
          <w:p w14:paraId="331E9A30">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p>
        </w:tc>
      </w:tr>
      <w:tr w14:paraId="10AD4FE9">
        <w:trPr>
          <w:trHeight w:val="431" w:hRule="atLeast"/>
        </w:trPr>
        <w:tc>
          <w:tcPr>
            <w:tcW w:w="432" w:type="pct"/>
            <w:vMerge w:val="continue"/>
          </w:tcPr>
          <w:p w14:paraId="6A0F9CF6">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shd w:val="clear" w:color="auto" w:fill="auto"/>
            <w:vAlign w:val="center"/>
          </w:tcPr>
          <w:p w14:paraId="4CD46BA0">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教学能力比赛</w:t>
            </w:r>
            <w:r>
              <w:rPr>
                <w:rFonts w:hint="eastAsia" w:ascii="仿宋" w:hAnsi="仿宋" w:eastAsia="仿宋" w:cs="仿宋"/>
                <w:b w:val="0"/>
                <w:bCs w:val="0"/>
                <w:color w:val="auto"/>
                <w:sz w:val="21"/>
                <w:szCs w:val="21"/>
                <w:highlight w:val="none"/>
                <w:u w:val="none"/>
                <w:lang w:val="en-US" w:eastAsia="zh-CN"/>
              </w:rPr>
              <w:t>/青年教师教学竞赛</w:t>
            </w: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4分</w:t>
            </w:r>
            <w:r>
              <w:rPr>
                <w:rFonts w:hint="eastAsia" w:ascii="仿宋" w:hAnsi="仿宋" w:eastAsia="仿宋" w:cs="仿宋"/>
                <w:b w:val="0"/>
                <w:bCs w:val="0"/>
                <w:color w:val="auto"/>
                <w:sz w:val="21"/>
                <w:szCs w:val="21"/>
                <w:highlight w:val="none"/>
                <w:u w:val="none"/>
                <w:lang w:eastAsia="zh-CN"/>
              </w:rPr>
              <w:t>）</w:t>
            </w:r>
          </w:p>
        </w:tc>
        <w:tc>
          <w:tcPr>
            <w:tcW w:w="3566" w:type="pct"/>
            <w:shd w:val="clear" w:color="auto" w:fill="auto"/>
            <w:vAlign w:val="center"/>
          </w:tcPr>
          <w:p w14:paraId="259D9C94">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省级一等奖及以上为A；省级获奖为B；市级获奖为C；其余不得分。</w:t>
            </w:r>
            <w:r>
              <w:rPr>
                <w:rFonts w:hint="eastAsia" w:ascii="仿宋" w:hAnsi="仿宋" w:eastAsia="仿宋" w:cs="仿宋"/>
                <w:b w:val="0"/>
                <w:bCs w:val="0"/>
                <w:color w:val="auto"/>
                <w:kern w:val="0"/>
                <w:sz w:val="21"/>
                <w:szCs w:val="21"/>
                <w:highlight w:val="none"/>
                <w:u w:val="none"/>
                <w:lang w:val="en-US" w:eastAsia="zh-CN" w:bidi="ar"/>
                <w:woUserID w:val="2"/>
              </w:rPr>
              <w:t>跨学院组队的分值分配由负责人决定。</w:t>
            </w:r>
          </w:p>
        </w:tc>
        <w:tc>
          <w:tcPr>
            <w:tcW w:w="457" w:type="pct"/>
            <w:shd w:val="clear" w:color="auto" w:fill="auto"/>
            <w:vAlign w:val="center"/>
          </w:tcPr>
          <w:p w14:paraId="3DFD5EFF">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rPr>
              <w:t>教务处（课程中心）/工会</w:t>
            </w:r>
          </w:p>
        </w:tc>
      </w:tr>
      <w:tr w14:paraId="72D82125">
        <w:trPr>
          <w:trHeight w:val="90" w:hRule="atLeast"/>
        </w:trPr>
        <w:tc>
          <w:tcPr>
            <w:tcW w:w="432" w:type="pct"/>
            <w:vMerge w:val="continue"/>
          </w:tcPr>
          <w:p w14:paraId="6B4AA5DD">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shd w:val="clear" w:color="auto" w:fill="auto"/>
            <w:vAlign w:val="center"/>
          </w:tcPr>
          <w:p w14:paraId="2FC89945">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教学改革</w:t>
            </w:r>
          </w:p>
          <w:p w14:paraId="1640C511">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2分</w:t>
            </w:r>
            <w:r>
              <w:rPr>
                <w:rFonts w:hint="eastAsia" w:ascii="仿宋" w:hAnsi="仿宋" w:eastAsia="仿宋" w:cs="仿宋"/>
                <w:b w:val="0"/>
                <w:bCs w:val="0"/>
                <w:color w:val="auto"/>
                <w:sz w:val="21"/>
                <w:szCs w:val="21"/>
                <w:highlight w:val="none"/>
                <w:u w:val="none"/>
                <w:lang w:eastAsia="zh-CN"/>
              </w:rPr>
              <w:t>）</w:t>
            </w:r>
          </w:p>
        </w:tc>
        <w:tc>
          <w:tcPr>
            <w:tcW w:w="3566" w:type="pct"/>
            <w:shd w:val="clear" w:color="auto" w:fill="auto"/>
            <w:vAlign w:val="center"/>
          </w:tcPr>
          <w:p w14:paraId="46A3924E">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lang w:val="en-US" w:eastAsia="zh-CN"/>
              </w:rPr>
              <w:t>教学改革项目获国家级为A；省级为B；市级为C；其余不得分。</w:t>
            </w:r>
          </w:p>
        </w:tc>
        <w:tc>
          <w:tcPr>
            <w:tcW w:w="457" w:type="pct"/>
            <w:shd w:val="clear" w:color="auto" w:fill="auto"/>
            <w:vAlign w:val="center"/>
          </w:tcPr>
          <w:p w14:paraId="3840BD52">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rPr>
              <w:t>教务处（课程中心）</w:t>
            </w:r>
          </w:p>
        </w:tc>
      </w:tr>
      <w:tr w14:paraId="0257B919">
        <w:trPr>
          <w:trHeight w:val="335" w:hRule="atLeast"/>
        </w:trPr>
        <w:tc>
          <w:tcPr>
            <w:tcW w:w="432" w:type="pct"/>
            <w:vMerge w:val="restart"/>
            <w:tcBorders>
              <w:top w:val="single" w:color="auto" w:sz="2" w:space="0"/>
              <w:left w:val="single" w:color="auto" w:sz="2" w:space="0"/>
              <w:right w:val="single" w:color="auto" w:sz="2" w:space="0"/>
            </w:tcBorders>
            <w:vAlign w:val="center"/>
          </w:tcPr>
          <w:p w14:paraId="3E432209">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2.平台机制建设</w:t>
            </w:r>
          </w:p>
          <w:p w14:paraId="41C49DF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val="0"/>
                <w:bCs w:val="0"/>
                <w:color w:val="auto"/>
                <w:sz w:val="21"/>
                <w:szCs w:val="21"/>
                <w:u w:val="none"/>
                <w:lang w:eastAsia="zh-CN"/>
              </w:rPr>
            </w:pPr>
            <w:r>
              <w:rPr>
                <w:rFonts w:hint="eastAsia" w:ascii="仿宋" w:hAnsi="仿宋" w:eastAsia="仿宋" w:cs="仿宋"/>
                <w:b w:val="0"/>
                <w:bCs w:val="0"/>
                <w:color w:val="auto"/>
                <w:sz w:val="21"/>
                <w:szCs w:val="21"/>
                <w:u w:val="none"/>
                <w:lang w:val="en-US" w:eastAsia="zh-CN"/>
              </w:rPr>
              <w:t>（5分）</w:t>
            </w:r>
          </w:p>
        </w:tc>
        <w:tc>
          <w:tcPr>
            <w:tcW w:w="4567" w:type="pct"/>
            <w:gridSpan w:val="3"/>
            <w:tcBorders>
              <w:top w:val="single" w:color="auto" w:sz="2" w:space="0"/>
              <w:left w:val="single" w:color="auto" w:sz="2" w:space="0"/>
              <w:bottom w:val="single" w:color="auto" w:sz="2" w:space="0"/>
              <w:right w:val="single" w:color="auto" w:sz="2" w:space="0"/>
            </w:tcBorders>
            <w:vAlign w:val="center"/>
          </w:tcPr>
          <w:p w14:paraId="3D1FA708">
            <w:pPr>
              <w:keepNext w:val="0"/>
              <w:keepLines w:val="0"/>
              <w:pageBreakBefore w:val="0"/>
              <w:widowControl w:val="0"/>
              <w:kinsoku/>
              <w:wordWrap/>
              <w:overflowPunct/>
              <w:topLinePunct w:val="0"/>
              <w:autoSpaceDN/>
              <w:bidi w:val="0"/>
              <w:adjustRightInd/>
              <w:snapToGrid/>
              <w:spacing w:line="30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基础性指标</w:t>
            </w:r>
          </w:p>
        </w:tc>
      </w:tr>
      <w:tr w14:paraId="4BCB6911">
        <w:trPr>
          <w:trHeight w:val="90" w:hRule="atLeast"/>
        </w:trPr>
        <w:tc>
          <w:tcPr>
            <w:tcW w:w="432" w:type="pct"/>
            <w:vMerge w:val="continue"/>
            <w:tcBorders>
              <w:left w:val="single" w:color="auto" w:sz="2" w:space="0"/>
              <w:right w:val="single" w:color="auto" w:sz="2" w:space="0"/>
            </w:tcBorders>
          </w:tcPr>
          <w:p w14:paraId="0FFD783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 w:hAnsi="仿宋" w:eastAsia="仿宋" w:cs="仿宋"/>
                <w:b w:val="0"/>
                <w:bCs w:val="0"/>
                <w:color w:val="auto"/>
                <w:sz w:val="21"/>
                <w:szCs w:val="21"/>
                <w:u w:val="none"/>
                <w:lang w:val="en-US" w:eastAsia="zh-CN"/>
              </w:rPr>
            </w:pPr>
          </w:p>
        </w:tc>
        <w:tc>
          <w:tcPr>
            <w:tcW w:w="543" w:type="pct"/>
            <w:tcBorders>
              <w:top w:val="single" w:color="auto" w:sz="2" w:space="0"/>
              <w:left w:val="single" w:color="auto" w:sz="2" w:space="0"/>
              <w:bottom w:val="single" w:color="auto" w:sz="2" w:space="0"/>
              <w:right w:val="single" w:color="auto" w:sz="2" w:space="0"/>
            </w:tcBorders>
            <w:shd w:val="clear" w:color="auto" w:fill="auto"/>
            <w:vAlign w:val="center"/>
          </w:tcPr>
          <w:p w14:paraId="5AC18B45">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校企合作成效</w:t>
            </w:r>
          </w:p>
          <w:p w14:paraId="44FEE239">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1.5分</w:t>
            </w:r>
            <w:r>
              <w:rPr>
                <w:rFonts w:hint="eastAsia" w:ascii="仿宋" w:hAnsi="仿宋" w:eastAsia="仿宋" w:cs="仿宋"/>
                <w:b w:val="0"/>
                <w:bCs w:val="0"/>
                <w:color w:val="auto"/>
                <w:sz w:val="21"/>
                <w:szCs w:val="21"/>
                <w:highlight w:val="none"/>
                <w:u w:val="none"/>
                <w:lang w:eastAsia="zh-CN"/>
              </w:rPr>
              <w:t>）</w:t>
            </w:r>
          </w:p>
        </w:tc>
        <w:tc>
          <w:tcPr>
            <w:tcW w:w="3566" w:type="pct"/>
            <w:tcBorders>
              <w:top w:val="single" w:color="auto" w:sz="2" w:space="0"/>
              <w:left w:val="single" w:color="auto" w:sz="2" w:space="0"/>
              <w:bottom w:val="single" w:color="auto" w:sz="2" w:space="0"/>
              <w:right w:val="single" w:color="auto" w:sz="2" w:space="0"/>
            </w:tcBorders>
            <w:shd w:val="clear" w:color="auto" w:fill="auto"/>
            <w:vAlign w:val="center"/>
          </w:tcPr>
          <w:p w14:paraId="7F6BBC7A">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hint="eastAsia" w:ascii="仿宋" w:hAnsi="仿宋" w:eastAsia="仿宋" w:cs="仿宋"/>
                <w:b w:val="0"/>
                <w:bCs w:val="0"/>
                <w:color w:val="auto"/>
                <w:kern w:val="0"/>
                <w:sz w:val="21"/>
                <w:szCs w:val="21"/>
                <w:highlight w:val="none"/>
                <w:u w:val="none"/>
                <w:lang w:val="en-US" w:eastAsia="zh-CN" w:bidi="ar"/>
                <w:woUserID w:val="2"/>
              </w:rPr>
            </w:pPr>
            <w:r>
              <w:rPr>
                <w:rFonts w:hint="eastAsia" w:ascii="仿宋" w:hAnsi="仿宋" w:eastAsia="仿宋" w:cs="仿宋"/>
                <w:b w:val="0"/>
                <w:bCs w:val="0"/>
                <w:color w:val="auto"/>
                <w:kern w:val="0"/>
                <w:sz w:val="21"/>
                <w:szCs w:val="21"/>
                <w:highlight w:val="none"/>
                <w:u w:val="none"/>
                <w:lang w:val="en-US" w:eastAsia="zh-CN" w:bidi="ar"/>
                <w:woUserID w:val="2"/>
              </w:rPr>
              <w:t>1.与制造业单项冠军、专精特新、大优强等重点企业开展校企合作项目数量；</w:t>
            </w:r>
          </w:p>
          <w:p w14:paraId="6193767D">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hint="eastAsia" w:ascii="仿宋" w:hAnsi="仿宋" w:eastAsia="仿宋" w:cs="仿宋"/>
                <w:b w:val="0"/>
                <w:bCs w:val="0"/>
                <w:color w:val="auto"/>
                <w:kern w:val="0"/>
                <w:sz w:val="21"/>
                <w:szCs w:val="21"/>
                <w:highlight w:val="none"/>
                <w:u w:val="none"/>
                <w:lang w:val="en-US" w:eastAsia="zh-CN" w:bidi="ar"/>
                <w:woUserID w:val="2"/>
              </w:rPr>
            </w:pPr>
            <w:r>
              <w:rPr>
                <w:rFonts w:hint="eastAsia" w:ascii="仿宋" w:hAnsi="仿宋" w:eastAsia="仿宋" w:cs="仿宋"/>
                <w:b w:val="0"/>
                <w:bCs w:val="0"/>
                <w:color w:val="auto"/>
                <w:kern w:val="0"/>
                <w:sz w:val="21"/>
                <w:szCs w:val="21"/>
                <w:highlight w:val="none"/>
                <w:u w:val="none"/>
                <w:lang w:val="en-US" w:eastAsia="zh-CN" w:bidi="ar"/>
                <w:woUserID w:val="2"/>
              </w:rPr>
              <w:t>2.积极推进现代学徒制、现场工程师、订单班等人才培养模式改革试点班级数量；</w:t>
            </w:r>
          </w:p>
          <w:p w14:paraId="17C16308">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hint="eastAsia" w:ascii="仿宋" w:hAnsi="仿宋" w:eastAsia="仿宋" w:cs="仿宋"/>
                <w:b w:val="0"/>
                <w:bCs w:val="0"/>
                <w:color w:val="auto"/>
                <w:kern w:val="0"/>
                <w:sz w:val="21"/>
                <w:szCs w:val="21"/>
                <w:highlight w:val="none"/>
                <w:u w:val="none"/>
                <w:lang w:val="en-US" w:eastAsia="zh-CN" w:bidi="ar"/>
                <w:woUserID w:val="2"/>
              </w:rPr>
            </w:pPr>
            <w:r>
              <w:rPr>
                <w:rFonts w:hint="eastAsia" w:ascii="仿宋" w:hAnsi="仿宋" w:eastAsia="仿宋" w:cs="仿宋"/>
                <w:b w:val="0"/>
                <w:bCs w:val="0"/>
                <w:color w:val="auto"/>
                <w:kern w:val="0"/>
                <w:sz w:val="21"/>
                <w:szCs w:val="21"/>
                <w:highlight w:val="none"/>
                <w:u w:val="none"/>
                <w:lang w:val="en-US" w:eastAsia="zh-CN" w:bidi="ar"/>
                <w:woUserID w:val="2"/>
              </w:rPr>
              <w:t>3.当年合作企业捐赠教学设施设备价值10万及以上；</w:t>
            </w:r>
          </w:p>
          <w:p w14:paraId="409D9828">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hint="eastAsia" w:ascii="仿宋" w:hAnsi="仿宋" w:eastAsia="仿宋" w:cs="仿宋"/>
                <w:b w:val="0"/>
                <w:bCs w:val="0"/>
                <w:color w:val="auto"/>
                <w:kern w:val="0"/>
                <w:sz w:val="21"/>
                <w:szCs w:val="21"/>
                <w:highlight w:val="none"/>
                <w:u w:val="none"/>
                <w:lang w:val="en-US" w:eastAsia="zh-CN" w:bidi="ar"/>
                <w:woUserID w:val="2"/>
              </w:rPr>
            </w:pPr>
            <w:r>
              <w:rPr>
                <w:rFonts w:hint="eastAsia" w:ascii="仿宋" w:hAnsi="仿宋" w:eastAsia="仿宋" w:cs="仿宋"/>
                <w:b w:val="0"/>
                <w:bCs w:val="0"/>
                <w:color w:val="auto"/>
                <w:kern w:val="0"/>
                <w:sz w:val="21"/>
                <w:szCs w:val="21"/>
                <w:highlight w:val="none"/>
                <w:u w:val="none"/>
                <w:lang w:val="en-US" w:eastAsia="zh-CN" w:bidi="ar"/>
                <w:woUserID w:val="2"/>
              </w:rPr>
              <w:t>以上3个项目完成情况，按格次赋分法赋分。</w:t>
            </w:r>
          </w:p>
        </w:tc>
        <w:tc>
          <w:tcPr>
            <w:tcW w:w="457" w:type="pct"/>
            <w:tcBorders>
              <w:top w:val="single" w:color="auto" w:sz="2" w:space="0"/>
              <w:left w:val="single" w:color="auto" w:sz="2" w:space="0"/>
              <w:bottom w:val="single" w:color="auto" w:sz="2" w:space="0"/>
              <w:right w:val="single" w:color="auto" w:sz="2" w:space="0"/>
            </w:tcBorders>
            <w:shd w:val="clear" w:color="auto" w:fill="auto"/>
            <w:vAlign w:val="center"/>
          </w:tcPr>
          <w:p w14:paraId="06EE778E">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rPr>
              <w:t>教务处（课程中心）</w:t>
            </w:r>
          </w:p>
        </w:tc>
      </w:tr>
      <w:tr w14:paraId="3D17D8CB">
        <w:trPr>
          <w:trHeight w:val="393" w:hRule="atLeast"/>
        </w:trPr>
        <w:tc>
          <w:tcPr>
            <w:tcW w:w="432" w:type="pct"/>
            <w:vMerge w:val="continue"/>
            <w:tcBorders>
              <w:left w:val="single" w:color="auto" w:sz="2" w:space="0"/>
              <w:right w:val="single" w:color="auto" w:sz="2" w:space="0"/>
            </w:tcBorders>
          </w:tcPr>
          <w:p w14:paraId="0B021C3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 w:hAnsi="仿宋" w:eastAsia="仿宋" w:cs="仿宋"/>
                <w:b w:val="0"/>
                <w:bCs w:val="0"/>
                <w:color w:val="auto"/>
                <w:sz w:val="21"/>
                <w:szCs w:val="21"/>
                <w:u w:val="none"/>
                <w:lang w:val="en-US" w:eastAsia="zh-CN"/>
              </w:rPr>
            </w:pPr>
          </w:p>
        </w:tc>
        <w:tc>
          <w:tcPr>
            <w:tcW w:w="4567" w:type="pct"/>
            <w:gridSpan w:val="3"/>
            <w:tcBorders>
              <w:top w:val="single" w:color="auto" w:sz="2" w:space="0"/>
              <w:left w:val="single" w:color="auto" w:sz="2" w:space="0"/>
              <w:bottom w:val="single" w:color="auto" w:sz="2" w:space="0"/>
              <w:right w:val="single" w:color="auto" w:sz="2" w:space="0"/>
            </w:tcBorders>
            <w:shd w:val="clear" w:color="auto" w:fill="auto"/>
            <w:vAlign w:val="center"/>
          </w:tcPr>
          <w:p w14:paraId="2AF203B9">
            <w:pPr>
              <w:keepNext w:val="0"/>
              <w:keepLines w:val="0"/>
              <w:pageBreakBefore w:val="0"/>
              <w:widowControl w:val="0"/>
              <w:kinsoku/>
              <w:wordWrap/>
              <w:overflowPunct/>
              <w:topLinePunct w:val="0"/>
              <w:autoSpaceDN/>
              <w:bidi w:val="0"/>
              <w:adjustRightInd/>
              <w:snapToGrid/>
              <w:spacing w:line="30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发展性指标</w:t>
            </w:r>
          </w:p>
        </w:tc>
      </w:tr>
      <w:tr w14:paraId="0FA6FCC3">
        <w:trPr>
          <w:trHeight w:val="783" w:hRule="atLeast"/>
        </w:trPr>
        <w:tc>
          <w:tcPr>
            <w:tcW w:w="432" w:type="pct"/>
            <w:vMerge w:val="continue"/>
            <w:tcBorders>
              <w:left w:val="single" w:color="auto" w:sz="2" w:space="0"/>
              <w:right w:val="single" w:color="auto" w:sz="2" w:space="0"/>
            </w:tcBorders>
          </w:tcPr>
          <w:p w14:paraId="13FEF072">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 w:hAnsi="仿宋" w:eastAsia="仿宋" w:cs="仿宋"/>
                <w:b w:val="0"/>
                <w:bCs w:val="0"/>
                <w:color w:val="auto"/>
                <w:sz w:val="21"/>
                <w:szCs w:val="21"/>
                <w:u w:val="none"/>
                <w:lang w:val="en-US" w:eastAsia="zh-CN"/>
              </w:rPr>
            </w:pPr>
          </w:p>
        </w:tc>
        <w:tc>
          <w:tcPr>
            <w:tcW w:w="543" w:type="pct"/>
            <w:tcBorders>
              <w:top w:val="single" w:color="auto" w:sz="2" w:space="0"/>
              <w:left w:val="single" w:color="auto" w:sz="2" w:space="0"/>
              <w:bottom w:val="single" w:color="auto" w:sz="2" w:space="0"/>
              <w:right w:val="single" w:color="auto" w:sz="2" w:space="0"/>
            </w:tcBorders>
            <w:shd w:val="clear" w:color="auto" w:fill="auto"/>
            <w:vAlign w:val="center"/>
          </w:tcPr>
          <w:p w14:paraId="69507B2E">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eastAsia="zh-CN"/>
              </w:rPr>
            </w:pPr>
            <w:r>
              <w:rPr>
                <w:rFonts w:hint="eastAsia" w:ascii="仿宋" w:hAnsi="仿宋" w:eastAsia="仿宋" w:cs="仿宋"/>
                <w:b w:val="0"/>
                <w:bCs w:val="0"/>
                <w:color w:val="auto"/>
                <w:sz w:val="21"/>
                <w:szCs w:val="21"/>
                <w:highlight w:val="none"/>
                <w:u w:val="none"/>
                <w:lang w:val="en-US" w:eastAsia="zh-CN"/>
              </w:rPr>
              <w:t>产教融合平台项目</w:t>
            </w: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3分</w:t>
            </w:r>
            <w:r>
              <w:rPr>
                <w:rFonts w:hint="eastAsia" w:ascii="仿宋" w:hAnsi="仿宋" w:eastAsia="仿宋" w:cs="仿宋"/>
                <w:b w:val="0"/>
                <w:bCs w:val="0"/>
                <w:color w:val="auto"/>
                <w:sz w:val="21"/>
                <w:szCs w:val="21"/>
                <w:highlight w:val="none"/>
                <w:u w:val="none"/>
                <w:lang w:eastAsia="zh-CN"/>
              </w:rPr>
              <w:t>）</w:t>
            </w:r>
          </w:p>
        </w:tc>
        <w:tc>
          <w:tcPr>
            <w:tcW w:w="3566" w:type="pct"/>
            <w:tcBorders>
              <w:top w:val="single" w:color="auto" w:sz="2" w:space="0"/>
              <w:left w:val="single" w:color="auto" w:sz="2" w:space="0"/>
              <w:bottom w:val="single" w:color="auto" w:sz="2" w:space="0"/>
              <w:right w:val="single" w:color="auto" w:sz="2" w:space="0"/>
            </w:tcBorders>
            <w:shd w:val="clear" w:color="auto" w:fill="auto"/>
            <w:vAlign w:val="center"/>
          </w:tcPr>
          <w:p w14:paraId="66208207">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1.</w:t>
            </w:r>
            <w:r>
              <w:rPr>
                <w:rFonts w:hint="eastAsia" w:ascii="仿宋" w:hAnsi="仿宋" w:eastAsia="仿宋" w:cs="仿宋"/>
                <w:b w:val="0"/>
                <w:bCs w:val="0"/>
                <w:color w:val="auto"/>
                <w:sz w:val="21"/>
                <w:szCs w:val="21"/>
                <w:u w:val="none"/>
                <w:lang w:val="en-US" w:eastAsia="zh-CN"/>
              </w:rPr>
              <w:t>产教融合平台建设（2分）：牵头主持国家级项目为A；省级项目为B；市级项目为C；其余不得分。</w:t>
            </w:r>
          </w:p>
          <w:p w14:paraId="5A9FA9D2">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2.</w:t>
            </w:r>
            <w:r>
              <w:rPr>
                <w:rFonts w:hint="eastAsia" w:ascii="仿宋" w:hAnsi="仿宋" w:eastAsia="仿宋" w:cs="仿宋"/>
                <w:b w:val="0"/>
                <w:bCs w:val="0"/>
                <w:color w:val="auto"/>
                <w:sz w:val="21"/>
                <w:szCs w:val="21"/>
                <w:u w:val="none"/>
                <w:lang w:val="en-US" w:eastAsia="zh-CN"/>
              </w:rPr>
              <w:t>产教融合“五个一批”项目（1分）：牵头主持省级及以上项目为A；市级项目为B；其余不得分。</w:t>
            </w:r>
          </w:p>
        </w:tc>
        <w:tc>
          <w:tcPr>
            <w:tcW w:w="457" w:type="pct"/>
            <w:vMerge w:val="restart"/>
            <w:tcBorders>
              <w:top w:val="single" w:color="auto" w:sz="2" w:space="0"/>
              <w:left w:val="single" w:color="auto" w:sz="2" w:space="0"/>
              <w:right w:val="single" w:color="auto" w:sz="2" w:space="0"/>
            </w:tcBorders>
            <w:shd w:val="clear" w:color="auto" w:fill="auto"/>
            <w:vAlign w:val="center"/>
          </w:tcPr>
          <w:p w14:paraId="53A147FC">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rPr>
              <w:t>教务处（课程中心）</w:t>
            </w:r>
          </w:p>
        </w:tc>
      </w:tr>
      <w:tr w14:paraId="448F1D65">
        <w:trPr>
          <w:trHeight w:val="90" w:hRule="atLeast"/>
        </w:trPr>
        <w:tc>
          <w:tcPr>
            <w:tcW w:w="432" w:type="pct"/>
            <w:vMerge w:val="continue"/>
            <w:tcBorders>
              <w:left w:val="single" w:color="auto" w:sz="2" w:space="0"/>
              <w:bottom w:val="single" w:color="auto" w:sz="2" w:space="0"/>
              <w:right w:val="single" w:color="auto" w:sz="2" w:space="0"/>
            </w:tcBorders>
          </w:tcPr>
          <w:p w14:paraId="1D82B51B">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 w:hAnsi="仿宋" w:eastAsia="仿宋" w:cs="仿宋"/>
                <w:b w:val="0"/>
                <w:bCs w:val="0"/>
                <w:color w:val="auto"/>
                <w:sz w:val="21"/>
                <w:szCs w:val="21"/>
                <w:u w:val="none"/>
                <w:lang w:val="en-US" w:eastAsia="zh-CN"/>
              </w:rPr>
            </w:pPr>
          </w:p>
        </w:tc>
        <w:tc>
          <w:tcPr>
            <w:tcW w:w="543" w:type="pct"/>
            <w:tcBorders>
              <w:top w:val="single" w:color="auto" w:sz="2" w:space="0"/>
              <w:left w:val="single" w:color="auto" w:sz="2" w:space="0"/>
              <w:bottom w:val="single" w:color="auto" w:sz="2" w:space="0"/>
              <w:right w:val="single" w:color="auto" w:sz="2" w:space="0"/>
            </w:tcBorders>
            <w:shd w:val="clear" w:color="auto" w:fill="auto"/>
            <w:vAlign w:val="center"/>
          </w:tcPr>
          <w:p w14:paraId="31CDAE1E">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行指委任职</w:t>
            </w:r>
          </w:p>
          <w:p w14:paraId="08F3C8D1">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lang w:val="en-US" w:eastAsia="zh-CN"/>
              </w:rPr>
              <w:t>0.5分</w:t>
            </w:r>
            <w:r>
              <w:rPr>
                <w:rFonts w:hint="eastAsia" w:ascii="仿宋" w:hAnsi="仿宋" w:eastAsia="仿宋" w:cs="仿宋"/>
                <w:b w:val="0"/>
                <w:bCs w:val="0"/>
                <w:color w:val="auto"/>
                <w:sz w:val="21"/>
                <w:szCs w:val="21"/>
                <w:highlight w:val="none"/>
                <w:u w:val="none"/>
                <w:lang w:eastAsia="zh-CN"/>
              </w:rPr>
              <w:t>）</w:t>
            </w:r>
          </w:p>
        </w:tc>
        <w:tc>
          <w:tcPr>
            <w:tcW w:w="3566" w:type="pct"/>
            <w:tcBorders>
              <w:top w:val="single" w:color="auto" w:sz="2" w:space="0"/>
              <w:left w:val="single" w:color="auto" w:sz="2" w:space="0"/>
              <w:bottom w:val="single" w:color="auto" w:sz="2" w:space="0"/>
              <w:right w:val="single" w:color="auto" w:sz="2" w:space="0"/>
            </w:tcBorders>
            <w:shd w:val="clear" w:color="auto" w:fill="auto"/>
            <w:vAlign w:val="center"/>
          </w:tcPr>
          <w:p w14:paraId="5FC7C8F7">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lang w:val="en-US" w:eastAsia="zh-CN"/>
              </w:rPr>
              <w:t>在国家级职业教育行业指导委员会任职为A；省级职业教育行业指导委员会任职为B；其余不得分。</w:t>
            </w:r>
          </w:p>
        </w:tc>
        <w:tc>
          <w:tcPr>
            <w:tcW w:w="457" w:type="pct"/>
            <w:vMerge w:val="continue"/>
            <w:tcBorders>
              <w:left w:val="single" w:color="auto" w:sz="2" w:space="0"/>
              <w:bottom w:val="single" w:color="auto" w:sz="2" w:space="0"/>
              <w:right w:val="single" w:color="auto" w:sz="2" w:space="0"/>
            </w:tcBorders>
            <w:shd w:val="clear" w:color="auto" w:fill="auto"/>
            <w:vAlign w:val="center"/>
          </w:tcPr>
          <w:p w14:paraId="501AC447">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p>
        </w:tc>
      </w:tr>
      <w:tr w14:paraId="5C35E47B">
        <w:trPr>
          <w:trHeight w:val="367" w:hRule="atLeast"/>
        </w:trPr>
        <w:tc>
          <w:tcPr>
            <w:tcW w:w="432" w:type="pct"/>
            <w:vMerge w:val="restart"/>
            <w:tcBorders>
              <w:top w:val="single" w:color="auto" w:sz="2" w:space="0"/>
              <w:left w:val="single" w:color="auto" w:sz="2" w:space="0"/>
              <w:bottom w:val="single" w:color="auto" w:sz="2" w:space="0"/>
              <w:right w:val="single" w:color="auto" w:sz="2" w:space="0"/>
            </w:tcBorders>
          </w:tcPr>
          <w:p w14:paraId="67BCCD31">
            <w:pPr>
              <w:keepNext w:val="0"/>
              <w:keepLines w:val="0"/>
              <w:pageBreakBefore w:val="0"/>
              <w:widowControl w:val="0"/>
              <w:kinsoku/>
              <w:wordWrap/>
              <w:overflowPunct/>
              <w:topLinePunct w:val="0"/>
              <w:autoSpaceDE/>
              <w:autoSpaceDN/>
              <w:bidi w:val="0"/>
              <w:adjustRightInd/>
              <w:snapToGrid/>
              <w:spacing w:line="440" w:lineRule="atLeast"/>
              <w:jc w:val="center"/>
              <w:textAlignment w:val="auto"/>
              <w:rPr>
                <w:rFonts w:hint="eastAsia" w:ascii="仿宋" w:hAnsi="仿宋" w:eastAsia="仿宋" w:cs="仿宋"/>
                <w:b w:val="0"/>
                <w:bCs w:val="0"/>
                <w:color w:val="auto"/>
                <w:sz w:val="21"/>
                <w:szCs w:val="21"/>
                <w:u w:val="none"/>
              </w:rPr>
            </w:pPr>
          </w:p>
          <w:p w14:paraId="43ECF38B">
            <w:pPr>
              <w:keepNext w:val="0"/>
              <w:keepLines w:val="0"/>
              <w:pageBreakBefore w:val="0"/>
              <w:widowControl w:val="0"/>
              <w:tabs>
                <w:tab w:val="left" w:pos="281"/>
              </w:tabs>
              <w:kinsoku/>
              <w:wordWrap/>
              <w:overflowPunct/>
              <w:topLinePunct w:val="0"/>
              <w:autoSpaceDE/>
              <w:autoSpaceDN/>
              <w:bidi w:val="0"/>
              <w:adjustRightInd/>
              <w:snapToGrid/>
              <w:spacing w:line="440" w:lineRule="exact"/>
              <w:ind w:left="0" w:firstLine="0" w:firstLineChars="0"/>
              <w:jc w:val="left"/>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3.人才培养质量</w:t>
            </w:r>
          </w:p>
          <w:p w14:paraId="26A5E91B">
            <w:pPr>
              <w:keepNext w:val="0"/>
              <w:keepLines w:val="0"/>
              <w:pageBreakBefore w:val="0"/>
              <w:widowControl w:val="0"/>
              <w:kinsoku/>
              <w:wordWrap/>
              <w:overflowPunct/>
              <w:topLinePunct w:val="0"/>
              <w:autoSpaceDE/>
              <w:autoSpaceDN/>
              <w:bidi w:val="0"/>
              <w:adjustRightInd/>
              <w:snapToGrid/>
              <w:spacing w:line="440" w:lineRule="exact"/>
              <w:ind w:left="210" w:hanging="210" w:hangingChars="100"/>
              <w:jc w:val="left"/>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（26分）</w:t>
            </w:r>
          </w:p>
          <w:p w14:paraId="4B9D3F9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val="0"/>
                <w:bCs w:val="0"/>
                <w:color w:val="auto"/>
                <w:sz w:val="21"/>
                <w:szCs w:val="21"/>
                <w:u w:val="none"/>
              </w:rPr>
            </w:pPr>
          </w:p>
          <w:p w14:paraId="634F4A0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val="0"/>
                <w:bCs w:val="0"/>
                <w:color w:val="auto"/>
                <w:sz w:val="21"/>
                <w:szCs w:val="21"/>
                <w:u w:val="none"/>
                <w:lang w:eastAsia="zh-CN"/>
              </w:rPr>
            </w:pPr>
          </w:p>
        </w:tc>
        <w:tc>
          <w:tcPr>
            <w:tcW w:w="4567" w:type="pct"/>
            <w:gridSpan w:val="3"/>
            <w:tcBorders>
              <w:top w:val="single" w:color="auto" w:sz="2" w:space="0"/>
              <w:left w:val="single" w:color="auto" w:sz="2" w:space="0"/>
              <w:bottom w:val="single" w:color="auto" w:sz="2" w:space="0"/>
              <w:right w:val="single" w:color="auto" w:sz="2" w:space="0"/>
            </w:tcBorders>
            <w:vAlign w:val="center"/>
          </w:tcPr>
          <w:p w14:paraId="0DBE6C19">
            <w:pPr>
              <w:keepNext w:val="0"/>
              <w:keepLines w:val="0"/>
              <w:pageBreakBefore w:val="0"/>
              <w:widowControl w:val="0"/>
              <w:kinsoku/>
              <w:wordWrap/>
              <w:overflowPunct/>
              <w:topLinePunct w:val="0"/>
              <w:autoSpaceDN/>
              <w:bidi w:val="0"/>
              <w:adjustRightInd/>
              <w:snapToGrid/>
              <w:spacing w:line="30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基础性指标</w:t>
            </w:r>
          </w:p>
        </w:tc>
      </w:tr>
      <w:tr w14:paraId="12D86F44">
        <w:trPr>
          <w:trHeight w:val="90" w:hRule="atLeast"/>
        </w:trPr>
        <w:tc>
          <w:tcPr>
            <w:tcW w:w="432" w:type="pct"/>
            <w:vMerge w:val="continue"/>
            <w:tcBorders>
              <w:left w:val="single" w:color="auto" w:sz="2" w:space="0"/>
              <w:right w:val="single" w:color="auto" w:sz="2" w:space="0"/>
            </w:tcBorders>
          </w:tcPr>
          <w:p w14:paraId="05AB2C4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val="0"/>
                <w:bCs w:val="0"/>
                <w:color w:val="auto"/>
                <w:sz w:val="21"/>
                <w:szCs w:val="21"/>
                <w:u w:val="none"/>
                <w:lang w:eastAsia="zh-CN"/>
              </w:rPr>
            </w:pPr>
          </w:p>
        </w:tc>
        <w:tc>
          <w:tcPr>
            <w:tcW w:w="543" w:type="pct"/>
            <w:tcBorders>
              <w:top w:val="single" w:color="auto" w:sz="2" w:space="0"/>
              <w:left w:val="single" w:color="auto" w:sz="2" w:space="0"/>
              <w:bottom w:val="single" w:color="auto" w:sz="2" w:space="0"/>
              <w:right w:val="single" w:color="auto" w:sz="2" w:space="0"/>
            </w:tcBorders>
            <w:shd w:val="clear" w:color="auto" w:fill="auto"/>
            <w:vAlign w:val="center"/>
          </w:tcPr>
          <w:p w14:paraId="1771097F">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素质能力</w:t>
            </w:r>
          </w:p>
          <w:p w14:paraId="13AE1606">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（3分）</w:t>
            </w:r>
          </w:p>
        </w:tc>
        <w:tc>
          <w:tcPr>
            <w:tcW w:w="3566" w:type="pct"/>
            <w:tcBorders>
              <w:top w:val="single" w:color="auto" w:sz="2" w:space="0"/>
              <w:left w:val="single" w:color="auto" w:sz="2" w:space="0"/>
              <w:bottom w:val="single" w:color="auto" w:sz="2" w:space="0"/>
              <w:right w:val="single" w:color="auto" w:sz="2" w:space="0"/>
            </w:tcBorders>
            <w:shd w:val="clear" w:color="auto" w:fill="auto"/>
            <w:vAlign w:val="center"/>
          </w:tcPr>
          <w:p w14:paraId="5E9E313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bCs/>
                <w:color w:val="auto"/>
                <w:sz w:val="21"/>
                <w:szCs w:val="21"/>
                <w:u w:val="none"/>
              </w:rPr>
              <w:t>1.</w:t>
            </w:r>
            <w:r>
              <w:rPr>
                <w:rFonts w:hint="eastAsia" w:ascii="仿宋" w:hAnsi="仿宋" w:eastAsia="仿宋" w:cs="仿宋"/>
                <w:b w:val="0"/>
                <w:bCs w:val="0"/>
                <w:color w:val="auto"/>
                <w:sz w:val="21"/>
                <w:szCs w:val="21"/>
                <w:u w:val="none"/>
              </w:rPr>
              <w:t>学生体测合格率90%及以上或优良率30%及以上得0.5分；合格率未</w:t>
            </w:r>
            <w:r>
              <w:rPr>
                <w:rFonts w:hint="eastAsia" w:ascii="仿宋" w:hAnsi="仿宋" w:eastAsia="仿宋" w:cs="仿宋"/>
                <w:b w:val="0"/>
                <w:bCs w:val="0"/>
                <w:color w:val="auto"/>
                <w:sz w:val="21"/>
                <w:szCs w:val="21"/>
                <w:u w:val="none"/>
                <w:lang w:val="en-US" w:eastAsia="zh-CN"/>
              </w:rPr>
              <w:t>到</w:t>
            </w:r>
            <w:r>
              <w:rPr>
                <w:rFonts w:hint="eastAsia" w:ascii="仿宋" w:hAnsi="仿宋" w:eastAsia="仿宋" w:cs="仿宋"/>
                <w:b w:val="0"/>
                <w:bCs w:val="0"/>
                <w:color w:val="auto"/>
                <w:sz w:val="21"/>
                <w:szCs w:val="21"/>
                <w:u w:val="none"/>
              </w:rPr>
              <w:t>90%或优良率未</w:t>
            </w:r>
            <w:r>
              <w:rPr>
                <w:rFonts w:hint="eastAsia" w:ascii="仿宋" w:hAnsi="仿宋" w:eastAsia="仿宋" w:cs="仿宋"/>
                <w:b w:val="0"/>
                <w:bCs w:val="0"/>
                <w:color w:val="auto"/>
                <w:sz w:val="21"/>
                <w:szCs w:val="21"/>
                <w:u w:val="none"/>
                <w:lang w:val="en-US" w:eastAsia="zh-CN"/>
              </w:rPr>
              <w:t>到</w:t>
            </w:r>
            <w:r>
              <w:rPr>
                <w:rFonts w:hint="eastAsia" w:ascii="仿宋" w:hAnsi="仿宋" w:eastAsia="仿宋" w:cs="仿宋"/>
                <w:b w:val="0"/>
                <w:bCs w:val="0"/>
                <w:color w:val="auto"/>
                <w:sz w:val="21"/>
                <w:szCs w:val="21"/>
                <w:u w:val="none"/>
              </w:rPr>
              <w:t>30%，但较前一年有提升</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每提升1%得0.1分，最高1分。</w:t>
            </w:r>
          </w:p>
          <w:p w14:paraId="7F46217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bCs/>
                <w:color w:val="auto"/>
                <w:sz w:val="21"/>
                <w:szCs w:val="21"/>
                <w:u w:val="none"/>
              </w:rPr>
              <w:t>2.</w:t>
            </w:r>
            <w:r>
              <w:rPr>
                <w:rFonts w:hint="eastAsia" w:ascii="仿宋" w:hAnsi="仿宋" w:eastAsia="仿宋" w:cs="仿宋"/>
                <w:b w:val="0"/>
                <w:bCs w:val="0"/>
                <w:color w:val="auto"/>
                <w:sz w:val="21"/>
                <w:szCs w:val="21"/>
                <w:u w:val="none"/>
              </w:rPr>
              <w:t>学校体测运动会根据综合排名</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lang w:val="en-US" w:eastAsia="zh-CN"/>
              </w:rPr>
              <w:t>2分</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lang w:val="en-US" w:eastAsia="zh-CN"/>
              </w:rPr>
              <w:t>按格次赋分法赋分</w:t>
            </w:r>
            <w:r>
              <w:rPr>
                <w:rFonts w:hint="eastAsia" w:ascii="仿宋" w:hAnsi="仿宋" w:eastAsia="仿宋" w:cs="仿宋"/>
                <w:b w:val="0"/>
                <w:bCs w:val="0"/>
                <w:color w:val="auto"/>
                <w:sz w:val="21"/>
                <w:szCs w:val="21"/>
                <w:u w:val="none"/>
              </w:rPr>
              <w:t>。</w:t>
            </w:r>
          </w:p>
          <w:p w14:paraId="2A362A3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bCs/>
                <w:color w:val="auto"/>
                <w:sz w:val="21"/>
                <w:szCs w:val="21"/>
                <w:u w:val="none"/>
              </w:rPr>
              <w:t>3.</w:t>
            </w:r>
            <w:r>
              <w:rPr>
                <w:rFonts w:hint="eastAsia" w:ascii="仿宋" w:hAnsi="仿宋" w:eastAsia="仿宋" w:cs="仿宋"/>
                <w:b w:val="0"/>
                <w:bCs w:val="0"/>
                <w:color w:val="auto"/>
                <w:sz w:val="21"/>
                <w:szCs w:val="21"/>
                <w:u w:val="none"/>
              </w:rPr>
              <w:t>省抽测合格率与优良率学校排名均在全省</w:t>
            </w:r>
            <w:r>
              <w:rPr>
                <w:rFonts w:hint="eastAsia" w:ascii="仿宋" w:hAnsi="仿宋" w:eastAsia="仿宋" w:cs="仿宋"/>
                <w:b w:val="0"/>
                <w:bCs w:val="0"/>
                <w:color w:val="auto"/>
                <w:sz w:val="21"/>
                <w:szCs w:val="21"/>
                <w:u w:val="none"/>
                <w:lang w:val="en-US" w:eastAsia="zh-CN"/>
              </w:rPr>
              <w:t>前</w:t>
            </w:r>
            <w:r>
              <w:rPr>
                <w:rFonts w:hint="eastAsia" w:ascii="仿宋" w:hAnsi="仿宋" w:eastAsia="仿宋" w:cs="仿宋"/>
                <w:b w:val="0"/>
                <w:bCs w:val="0"/>
                <w:color w:val="auto"/>
                <w:sz w:val="21"/>
                <w:szCs w:val="21"/>
                <w:u w:val="none"/>
              </w:rPr>
              <w:t>30%的，相关学院直接得</w:t>
            </w:r>
            <w:r>
              <w:rPr>
                <w:rFonts w:hint="eastAsia" w:ascii="仿宋" w:hAnsi="仿宋" w:eastAsia="仿宋" w:cs="仿宋"/>
                <w:b w:val="0"/>
                <w:bCs w:val="0"/>
                <w:color w:val="auto"/>
                <w:sz w:val="21"/>
                <w:szCs w:val="21"/>
                <w:u w:val="none"/>
                <w:lang w:val="en-US" w:eastAsia="zh-CN"/>
              </w:rPr>
              <w:t>3</w:t>
            </w:r>
            <w:r>
              <w:rPr>
                <w:rFonts w:hint="eastAsia" w:ascii="仿宋" w:hAnsi="仿宋" w:eastAsia="仿宋" w:cs="仿宋"/>
                <w:b w:val="0"/>
                <w:bCs w:val="0"/>
                <w:color w:val="auto"/>
                <w:sz w:val="21"/>
                <w:szCs w:val="21"/>
                <w:u w:val="none"/>
              </w:rPr>
              <w:t>分，替代第1、2条</w:t>
            </w:r>
            <w:r>
              <w:rPr>
                <w:rFonts w:hint="eastAsia" w:ascii="仿宋" w:hAnsi="仿宋" w:eastAsia="仿宋" w:cs="仿宋"/>
                <w:b w:val="0"/>
                <w:bCs w:val="0"/>
                <w:color w:val="auto"/>
                <w:sz w:val="21"/>
                <w:szCs w:val="21"/>
                <w:u w:val="none"/>
                <w:lang w:eastAsia="zh-CN"/>
              </w:rPr>
              <w:t>评价</w:t>
            </w:r>
            <w:r>
              <w:rPr>
                <w:rFonts w:hint="eastAsia" w:ascii="仿宋" w:hAnsi="仿宋" w:eastAsia="仿宋" w:cs="仿宋"/>
                <w:b w:val="0"/>
                <w:bCs w:val="0"/>
                <w:color w:val="auto"/>
                <w:sz w:val="21"/>
                <w:szCs w:val="21"/>
                <w:u w:val="none"/>
              </w:rPr>
              <w:t>；</w:t>
            </w:r>
            <w:r>
              <w:rPr>
                <w:rFonts w:hint="eastAsia" w:ascii="仿宋" w:hAnsi="仿宋" w:eastAsia="仿宋" w:cs="仿宋"/>
                <w:b w:val="0"/>
                <w:bCs w:val="0"/>
                <w:color w:val="auto"/>
                <w:sz w:val="21"/>
                <w:szCs w:val="21"/>
                <w:u w:val="none"/>
                <w:lang w:val="en-US" w:eastAsia="zh-CN"/>
              </w:rPr>
              <w:t>仅</w:t>
            </w:r>
            <w:r>
              <w:rPr>
                <w:rFonts w:hint="eastAsia" w:ascii="仿宋" w:hAnsi="仿宋" w:eastAsia="仿宋" w:cs="仿宋"/>
                <w:b w:val="0"/>
                <w:bCs w:val="0"/>
                <w:color w:val="auto"/>
                <w:sz w:val="21"/>
                <w:szCs w:val="21"/>
                <w:u w:val="none"/>
              </w:rPr>
              <w:t>其中一项排名全省前30%的，可替代第1条</w:t>
            </w:r>
            <w:r>
              <w:rPr>
                <w:rFonts w:hint="eastAsia" w:ascii="仿宋" w:hAnsi="仿宋" w:eastAsia="仿宋" w:cs="仿宋"/>
                <w:b w:val="0"/>
                <w:bCs w:val="0"/>
                <w:color w:val="auto"/>
                <w:sz w:val="21"/>
                <w:szCs w:val="21"/>
                <w:u w:val="none"/>
                <w:lang w:eastAsia="zh-CN"/>
              </w:rPr>
              <w:t>评价</w:t>
            </w:r>
            <w:r>
              <w:rPr>
                <w:rFonts w:hint="eastAsia" w:ascii="仿宋" w:hAnsi="仿宋" w:eastAsia="仿宋" w:cs="仿宋"/>
                <w:b w:val="0"/>
                <w:bCs w:val="0"/>
                <w:color w:val="auto"/>
                <w:sz w:val="21"/>
                <w:szCs w:val="21"/>
                <w:u w:val="none"/>
              </w:rPr>
              <w:t>，得1分。</w:t>
            </w:r>
          </w:p>
        </w:tc>
        <w:tc>
          <w:tcPr>
            <w:tcW w:w="457" w:type="pct"/>
            <w:tcBorders>
              <w:left w:val="single" w:color="auto" w:sz="2" w:space="0"/>
              <w:right w:val="single" w:color="auto" w:sz="2" w:space="0"/>
            </w:tcBorders>
            <w:vAlign w:val="center"/>
          </w:tcPr>
          <w:p w14:paraId="68566739">
            <w:pPr>
              <w:keepNext w:val="0"/>
              <w:keepLines w:val="0"/>
              <w:pageBreakBefore w:val="0"/>
              <w:widowControl w:val="0"/>
              <w:kinsoku/>
              <w:wordWrap/>
              <w:overflowPunct/>
              <w:topLinePunct w:val="0"/>
              <w:autoSpaceDN/>
              <w:bidi w:val="0"/>
              <w:adjustRightInd/>
              <w:snapToGrid/>
              <w:spacing w:line="22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基础课教学部</w:t>
            </w:r>
          </w:p>
        </w:tc>
      </w:tr>
      <w:tr w14:paraId="7BC8F57E">
        <w:trPr>
          <w:trHeight w:val="90" w:hRule="atLeast"/>
        </w:trPr>
        <w:tc>
          <w:tcPr>
            <w:tcW w:w="432" w:type="pct"/>
            <w:vMerge w:val="continue"/>
            <w:tcBorders>
              <w:top w:val="single" w:color="auto" w:sz="2" w:space="0"/>
              <w:left w:val="single" w:color="auto" w:sz="2" w:space="0"/>
              <w:bottom w:val="single" w:color="auto" w:sz="2" w:space="0"/>
              <w:right w:val="single" w:color="auto" w:sz="2" w:space="0"/>
            </w:tcBorders>
          </w:tcPr>
          <w:p w14:paraId="062FE41A">
            <w:pPr>
              <w:keepNext w:val="0"/>
              <w:keepLines w:val="0"/>
              <w:pageBreakBefore w:val="0"/>
              <w:widowControl w:val="0"/>
              <w:kinsoku/>
              <w:wordWrap/>
              <w:overflowPunct/>
              <w:topLinePunct w:val="0"/>
              <w:autoSpaceDE/>
              <w:autoSpaceDN/>
              <w:bidi w:val="0"/>
              <w:adjustRightInd/>
              <w:snapToGrid/>
              <w:spacing w:line="440" w:lineRule="atLeast"/>
              <w:jc w:val="center"/>
              <w:textAlignment w:val="auto"/>
              <w:rPr>
                <w:rFonts w:hint="eastAsia" w:ascii="仿宋" w:hAnsi="仿宋" w:eastAsia="仿宋" w:cs="仿宋"/>
                <w:b w:val="0"/>
                <w:bCs w:val="0"/>
                <w:color w:val="auto"/>
                <w:sz w:val="21"/>
                <w:szCs w:val="21"/>
                <w:u w:val="none"/>
              </w:rPr>
            </w:pPr>
          </w:p>
        </w:tc>
        <w:tc>
          <w:tcPr>
            <w:tcW w:w="543" w:type="pct"/>
            <w:tcBorders>
              <w:top w:val="single" w:color="auto" w:sz="2" w:space="0"/>
              <w:left w:val="single" w:color="auto" w:sz="2" w:space="0"/>
              <w:bottom w:val="single" w:color="auto" w:sz="2" w:space="0"/>
              <w:right w:val="single" w:color="auto" w:sz="2" w:space="0"/>
            </w:tcBorders>
            <w:vAlign w:val="center"/>
          </w:tcPr>
          <w:p w14:paraId="7393F2EE">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美育教育</w:t>
            </w:r>
          </w:p>
          <w:p w14:paraId="2F56B2AF">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（1.5分）</w:t>
            </w:r>
          </w:p>
        </w:tc>
        <w:tc>
          <w:tcPr>
            <w:tcW w:w="3566" w:type="pct"/>
            <w:tcBorders>
              <w:top w:val="single" w:color="auto" w:sz="2" w:space="0"/>
              <w:left w:val="single" w:color="auto" w:sz="2" w:space="0"/>
              <w:bottom w:val="single" w:color="auto" w:sz="2" w:space="0"/>
              <w:right w:val="single" w:color="auto" w:sz="2" w:space="0"/>
            </w:tcBorders>
            <w:vAlign w:val="center"/>
          </w:tcPr>
          <w:p w14:paraId="672AA54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校级及以上艺术活动学生参与度，学院开展具有特色亮点的艺术文化活动情况，按格次赋分法赋分。</w:t>
            </w:r>
          </w:p>
        </w:tc>
        <w:tc>
          <w:tcPr>
            <w:tcW w:w="457" w:type="pct"/>
            <w:tcBorders>
              <w:left w:val="single" w:color="auto" w:sz="2" w:space="0"/>
              <w:bottom w:val="single" w:color="auto" w:sz="2" w:space="0"/>
              <w:right w:val="single" w:color="auto" w:sz="2" w:space="0"/>
            </w:tcBorders>
            <w:vAlign w:val="center"/>
          </w:tcPr>
          <w:p w14:paraId="540A8935">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团委</w:t>
            </w:r>
          </w:p>
        </w:tc>
      </w:tr>
      <w:tr w14:paraId="4B0C82B2">
        <w:trPr>
          <w:trHeight w:val="90" w:hRule="atLeast"/>
        </w:trPr>
        <w:tc>
          <w:tcPr>
            <w:tcW w:w="432" w:type="pct"/>
            <w:vMerge w:val="continue"/>
            <w:tcBorders>
              <w:top w:val="single" w:color="auto" w:sz="2" w:space="0"/>
              <w:left w:val="single" w:color="auto" w:sz="2" w:space="0"/>
              <w:bottom w:val="single" w:color="auto" w:sz="2" w:space="0"/>
              <w:right w:val="single" w:color="auto" w:sz="2" w:space="0"/>
            </w:tcBorders>
          </w:tcPr>
          <w:p w14:paraId="72644563">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tcBorders>
              <w:top w:val="single" w:color="auto" w:sz="2" w:space="0"/>
              <w:left w:val="single" w:color="auto" w:sz="2" w:space="0"/>
              <w:bottom w:val="single" w:color="auto" w:sz="2" w:space="0"/>
              <w:right w:val="single" w:color="auto" w:sz="2" w:space="0"/>
            </w:tcBorders>
            <w:vAlign w:val="center"/>
          </w:tcPr>
          <w:p w14:paraId="454121F4">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劳动教育</w:t>
            </w:r>
          </w:p>
          <w:p w14:paraId="4BAC5858">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（1.5分）</w:t>
            </w:r>
          </w:p>
        </w:tc>
        <w:tc>
          <w:tcPr>
            <w:tcW w:w="3566" w:type="pct"/>
            <w:tcBorders>
              <w:top w:val="single" w:color="auto" w:sz="2" w:space="0"/>
              <w:left w:val="single" w:color="auto" w:sz="2" w:space="0"/>
              <w:bottom w:val="single" w:color="auto" w:sz="2" w:space="0"/>
              <w:right w:val="single" w:color="auto" w:sz="2" w:space="0"/>
            </w:tcBorders>
            <w:vAlign w:val="center"/>
          </w:tcPr>
          <w:p w14:paraId="6F70A2B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社会实践、公益志愿活动等学生参与情况、校外劳动教育实践基地建设情况，按格次赋分法赋分。</w:t>
            </w:r>
          </w:p>
        </w:tc>
        <w:tc>
          <w:tcPr>
            <w:tcW w:w="457" w:type="pct"/>
            <w:tcBorders>
              <w:top w:val="single" w:color="auto" w:sz="2" w:space="0"/>
              <w:left w:val="single" w:color="auto" w:sz="2" w:space="0"/>
              <w:right w:val="single" w:color="auto" w:sz="2" w:space="0"/>
            </w:tcBorders>
            <w:shd w:val="clear" w:color="auto" w:fill="auto"/>
            <w:vAlign w:val="center"/>
          </w:tcPr>
          <w:p w14:paraId="27BBCBBE">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rPr>
              <w:t>学生工作部（学生处）</w:t>
            </w:r>
            <w:r>
              <w:rPr>
                <w:rFonts w:hint="eastAsia" w:ascii="仿宋" w:hAnsi="仿宋" w:eastAsia="仿宋" w:cs="仿宋"/>
                <w:b w:val="0"/>
                <w:bCs w:val="0"/>
                <w:color w:val="auto"/>
                <w:sz w:val="21"/>
                <w:szCs w:val="21"/>
                <w:u w:val="none"/>
                <w:lang w:val="en-US" w:eastAsia="zh-CN"/>
              </w:rPr>
              <w:t>/团委</w:t>
            </w:r>
          </w:p>
          <w:p w14:paraId="1CD91B64">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p>
        </w:tc>
      </w:tr>
      <w:tr w14:paraId="2C8A8AD8">
        <w:trPr>
          <w:trHeight w:val="196" w:hRule="atLeast"/>
        </w:trPr>
        <w:tc>
          <w:tcPr>
            <w:tcW w:w="432" w:type="pct"/>
            <w:vMerge w:val="continue"/>
            <w:tcBorders>
              <w:top w:val="single" w:color="auto" w:sz="2" w:space="0"/>
              <w:left w:val="single" w:color="auto" w:sz="2" w:space="0"/>
              <w:bottom w:val="single" w:color="auto" w:sz="2" w:space="0"/>
              <w:right w:val="single" w:color="auto" w:sz="2" w:space="0"/>
            </w:tcBorders>
          </w:tcPr>
          <w:p w14:paraId="2088FB04">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tcBorders>
              <w:top w:val="single" w:color="auto" w:sz="2" w:space="0"/>
              <w:left w:val="single" w:color="auto" w:sz="2" w:space="0"/>
              <w:bottom w:val="single" w:color="auto" w:sz="2" w:space="0"/>
              <w:right w:val="single" w:color="auto" w:sz="2" w:space="0"/>
            </w:tcBorders>
            <w:vAlign w:val="center"/>
          </w:tcPr>
          <w:p w14:paraId="60D2CCD0">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学生荣誉</w:t>
            </w:r>
          </w:p>
          <w:p w14:paraId="4AAA8127">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（1分）</w:t>
            </w:r>
          </w:p>
        </w:tc>
        <w:tc>
          <w:tcPr>
            <w:tcW w:w="3566" w:type="pct"/>
            <w:tcBorders>
              <w:top w:val="single" w:color="auto" w:sz="2" w:space="0"/>
              <w:left w:val="single" w:color="auto" w:sz="2" w:space="0"/>
              <w:bottom w:val="single" w:color="auto" w:sz="2" w:space="0"/>
              <w:right w:val="single" w:color="auto" w:sz="2" w:space="0"/>
            </w:tcBorders>
            <w:vAlign w:val="center"/>
          </w:tcPr>
          <w:p w14:paraId="6C1C6D5C">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rPr>
              <w:t>学生获“五育”</w:t>
            </w:r>
            <w:r>
              <w:rPr>
                <w:rFonts w:hint="eastAsia" w:ascii="仿宋" w:hAnsi="仿宋" w:eastAsia="仿宋" w:cs="仿宋"/>
                <w:b w:val="0"/>
                <w:bCs w:val="0"/>
                <w:color w:val="auto"/>
                <w:sz w:val="21"/>
                <w:szCs w:val="21"/>
                <w:u w:val="none"/>
                <w:lang w:val="en-US" w:eastAsia="zh-CN"/>
              </w:rPr>
              <w:t>相关</w:t>
            </w:r>
            <w:r>
              <w:rPr>
                <w:rFonts w:hint="eastAsia" w:ascii="仿宋" w:hAnsi="仿宋" w:eastAsia="仿宋" w:cs="仿宋"/>
                <w:b w:val="0"/>
                <w:bCs w:val="0"/>
                <w:color w:val="auto"/>
                <w:sz w:val="21"/>
                <w:szCs w:val="21"/>
                <w:u w:val="none"/>
              </w:rPr>
              <w:t>荣誉</w:t>
            </w:r>
            <w:r>
              <w:rPr>
                <w:rFonts w:hint="eastAsia" w:ascii="仿宋" w:hAnsi="仿宋" w:eastAsia="仿宋" w:cs="仿宋"/>
                <w:b w:val="0"/>
                <w:bCs w:val="0"/>
                <w:color w:val="auto"/>
                <w:sz w:val="21"/>
                <w:szCs w:val="21"/>
                <w:u w:val="none"/>
                <w:lang w:val="en-US" w:eastAsia="zh-CN"/>
              </w:rPr>
              <w:t>市级及以上，按照格次赋分法赋分。</w:t>
            </w:r>
          </w:p>
        </w:tc>
        <w:tc>
          <w:tcPr>
            <w:tcW w:w="457" w:type="pct"/>
            <w:tcBorders>
              <w:left w:val="single" w:color="auto" w:sz="2" w:space="0"/>
              <w:bottom w:val="single" w:color="auto" w:sz="2" w:space="0"/>
              <w:right w:val="single" w:color="auto" w:sz="2" w:space="0"/>
            </w:tcBorders>
            <w:shd w:val="clear" w:color="auto" w:fill="auto"/>
            <w:vAlign w:val="center"/>
          </w:tcPr>
          <w:p w14:paraId="7DBC329F">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rPr>
              <w:t>学生工作部（学生处）</w:t>
            </w:r>
            <w:r>
              <w:rPr>
                <w:rFonts w:hint="eastAsia" w:ascii="仿宋" w:hAnsi="仿宋" w:eastAsia="仿宋" w:cs="仿宋"/>
                <w:b w:val="0"/>
                <w:bCs w:val="0"/>
                <w:color w:val="auto"/>
                <w:sz w:val="21"/>
                <w:szCs w:val="21"/>
                <w:u w:val="none"/>
                <w:lang w:val="en-US" w:eastAsia="zh-CN"/>
              </w:rPr>
              <w:t>/团委</w:t>
            </w:r>
          </w:p>
        </w:tc>
      </w:tr>
      <w:tr w14:paraId="65D6E496">
        <w:trPr>
          <w:trHeight w:val="90" w:hRule="atLeast"/>
        </w:trPr>
        <w:tc>
          <w:tcPr>
            <w:tcW w:w="432" w:type="pct"/>
            <w:vMerge w:val="continue"/>
            <w:tcBorders>
              <w:top w:val="single" w:color="auto" w:sz="2" w:space="0"/>
              <w:left w:val="single" w:color="auto" w:sz="2" w:space="0"/>
              <w:bottom w:val="single" w:color="auto" w:sz="2" w:space="0"/>
              <w:right w:val="single" w:color="auto" w:sz="2" w:space="0"/>
            </w:tcBorders>
          </w:tcPr>
          <w:p w14:paraId="579C6A82">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tcBorders>
              <w:top w:val="single" w:color="auto" w:sz="2" w:space="0"/>
              <w:left w:val="single" w:color="auto" w:sz="2" w:space="0"/>
              <w:bottom w:val="single" w:color="auto" w:sz="2" w:space="0"/>
              <w:right w:val="single" w:color="auto" w:sz="2" w:space="0"/>
            </w:tcBorders>
            <w:vAlign w:val="center"/>
          </w:tcPr>
          <w:p w14:paraId="3682E301">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eastAsia="zh-CN"/>
              </w:rPr>
            </w:pPr>
            <w:r>
              <w:rPr>
                <w:rFonts w:hint="eastAsia" w:ascii="仿宋" w:hAnsi="仿宋" w:eastAsia="仿宋" w:cs="仿宋"/>
                <w:b w:val="0"/>
                <w:bCs w:val="0"/>
                <w:color w:val="auto"/>
                <w:sz w:val="21"/>
                <w:szCs w:val="21"/>
                <w:highlight w:val="none"/>
                <w:u w:val="none"/>
              </w:rPr>
              <w:t>分类培养</w:t>
            </w:r>
          </w:p>
          <w:p w14:paraId="7549EA04">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（1分）</w:t>
            </w:r>
          </w:p>
        </w:tc>
        <w:tc>
          <w:tcPr>
            <w:tcW w:w="3566" w:type="pct"/>
            <w:tcBorders>
              <w:top w:val="single" w:color="auto" w:sz="2" w:space="0"/>
              <w:left w:val="single" w:color="auto" w:sz="2" w:space="0"/>
              <w:bottom w:val="single" w:color="auto" w:sz="2" w:space="0"/>
              <w:right w:val="single" w:color="auto" w:sz="2" w:space="0"/>
            </w:tcBorders>
            <w:vAlign w:val="center"/>
          </w:tcPr>
          <w:p w14:paraId="1F3F74C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按照本学院分类培养主要类型完成情况进行评价赋分：</w:t>
            </w:r>
          </w:p>
          <w:p w14:paraId="05D1914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专升本型：按当年毕业生实际专升本比例÷25%×3，超过3按</w:t>
            </w:r>
            <w:r>
              <w:rPr>
                <w:rFonts w:hint="eastAsia" w:ascii="仿宋" w:hAnsi="仿宋" w:eastAsia="仿宋" w:cs="仿宋"/>
                <w:b w:val="0"/>
                <w:bCs w:val="0"/>
                <w:color w:val="auto"/>
                <w:sz w:val="21"/>
                <w:szCs w:val="21"/>
                <w:u w:val="none"/>
                <w:lang w:val="en-US" w:eastAsia="zh-CN"/>
              </w:rPr>
              <w:t>1</w:t>
            </w:r>
            <w:r>
              <w:rPr>
                <w:rFonts w:hint="eastAsia" w:ascii="仿宋" w:hAnsi="仿宋" w:eastAsia="仿宋" w:cs="仿宋"/>
                <w:b w:val="0"/>
                <w:bCs w:val="0"/>
                <w:color w:val="auto"/>
                <w:sz w:val="21"/>
                <w:szCs w:val="21"/>
                <w:u w:val="none"/>
              </w:rPr>
              <w:t>分计。</w:t>
            </w:r>
          </w:p>
          <w:p w14:paraId="6684DDD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技师型：按当年毕业生实际获高等级技能证书比例÷25%×3，超过3按</w:t>
            </w:r>
            <w:r>
              <w:rPr>
                <w:rFonts w:hint="eastAsia" w:ascii="仿宋" w:hAnsi="仿宋" w:eastAsia="仿宋" w:cs="仿宋"/>
                <w:b w:val="0"/>
                <w:bCs w:val="0"/>
                <w:color w:val="auto"/>
                <w:sz w:val="21"/>
                <w:szCs w:val="21"/>
                <w:u w:val="none"/>
                <w:lang w:val="en-US" w:eastAsia="zh-CN"/>
              </w:rPr>
              <w:t>1</w:t>
            </w:r>
            <w:r>
              <w:rPr>
                <w:rFonts w:hint="eastAsia" w:ascii="仿宋" w:hAnsi="仿宋" w:eastAsia="仿宋" w:cs="仿宋"/>
                <w:b w:val="0"/>
                <w:bCs w:val="0"/>
                <w:color w:val="auto"/>
                <w:sz w:val="21"/>
                <w:szCs w:val="21"/>
                <w:u w:val="none"/>
              </w:rPr>
              <w:t>分计。</w:t>
            </w:r>
          </w:p>
          <w:p w14:paraId="438FC3C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复合型：按当年本专业毕业生实际获得其他辅修专业证书及为其他专业毕业生获得本专业辅修专业证书</w:t>
            </w:r>
          </w:p>
          <w:p w14:paraId="46F0C72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的比例÷15%×3，超过3按</w:t>
            </w:r>
            <w:r>
              <w:rPr>
                <w:rFonts w:hint="eastAsia" w:ascii="仿宋" w:hAnsi="仿宋" w:eastAsia="仿宋" w:cs="仿宋"/>
                <w:b w:val="0"/>
                <w:bCs w:val="0"/>
                <w:color w:val="auto"/>
                <w:sz w:val="21"/>
                <w:szCs w:val="21"/>
                <w:u w:val="none"/>
                <w:lang w:val="en-US" w:eastAsia="zh-CN"/>
              </w:rPr>
              <w:t>1</w:t>
            </w:r>
            <w:r>
              <w:rPr>
                <w:rFonts w:hint="eastAsia" w:ascii="仿宋" w:hAnsi="仿宋" w:eastAsia="仿宋" w:cs="仿宋"/>
                <w:b w:val="0"/>
                <w:bCs w:val="0"/>
                <w:color w:val="auto"/>
                <w:sz w:val="21"/>
                <w:szCs w:val="21"/>
                <w:u w:val="none"/>
              </w:rPr>
              <w:t>分计。</w:t>
            </w:r>
          </w:p>
          <w:p w14:paraId="418CBF1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 xml:space="preserve">创业型：按当年毕业生实际创业人数比例÷5%×3，超过3按 </w:t>
            </w:r>
            <w:r>
              <w:rPr>
                <w:rFonts w:hint="eastAsia" w:ascii="仿宋" w:hAnsi="仿宋" w:eastAsia="仿宋" w:cs="仿宋"/>
                <w:b w:val="0"/>
                <w:bCs w:val="0"/>
                <w:color w:val="auto"/>
                <w:sz w:val="21"/>
                <w:szCs w:val="21"/>
                <w:u w:val="none"/>
                <w:lang w:val="en-US" w:eastAsia="zh-CN"/>
              </w:rPr>
              <w:t>1</w:t>
            </w:r>
            <w:r>
              <w:rPr>
                <w:rFonts w:hint="eastAsia" w:ascii="仿宋" w:hAnsi="仿宋" w:eastAsia="仿宋" w:cs="仿宋"/>
                <w:b w:val="0"/>
                <w:bCs w:val="0"/>
                <w:color w:val="auto"/>
                <w:sz w:val="21"/>
                <w:szCs w:val="21"/>
                <w:u w:val="none"/>
              </w:rPr>
              <w:t>分计。</w:t>
            </w:r>
          </w:p>
          <w:p w14:paraId="5BCE2486">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 xml:space="preserve">每个学院可根据专业分类培养类型选其一作为主项得分，其他类型得分*0.3 计入，但累计不超过 </w:t>
            </w:r>
            <w:r>
              <w:rPr>
                <w:rFonts w:hint="eastAsia" w:ascii="仿宋" w:hAnsi="仿宋" w:eastAsia="仿宋" w:cs="仿宋"/>
                <w:b w:val="0"/>
                <w:bCs w:val="0"/>
                <w:color w:val="auto"/>
                <w:sz w:val="21"/>
                <w:szCs w:val="21"/>
                <w:u w:val="none"/>
                <w:lang w:val="en-US" w:eastAsia="zh-CN"/>
              </w:rPr>
              <w:t>1</w:t>
            </w:r>
            <w:r>
              <w:rPr>
                <w:rFonts w:hint="eastAsia" w:ascii="仿宋" w:hAnsi="仿宋" w:eastAsia="仿宋" w:cs="仿宋"/>
                <w:b w:val="0"/>
                <w:bCs w:val="0"/>
                <w:color w:val="auto"/>
                <w:sz w:val="21"/>
                <w:szCs w:val="21"/>
                <w:u w:val="none"/>
              </w:rPr>
              <w:t>分。</w:t>
            </w:r>
          </w:p>
        </w:tc>
        <w:tc>
          <w:tcPr>
            <w:tcW w:w="457" w:type="pct"/>
            <w:tcBorders>
              <w:top w:val="single" w:color="auto" w:sz="2" w:space="0"/>
              <w:left w:val="single" w:color="auto" w:sz="2" w:space="0"/>
              <w:bottom w:val="single" w:color="auto" w:sz="2" w:space="0"/>
              <w:right w:val="single" w:color="auto" w:sz="2" w:space="0"/>
            </w:tcBorders>
            <w:vAlign w:val="center"/>
          </w:tcPr>
          <w:p w14:paraId="4C4B0C46">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教务处（课程中心）</w:t>
            </w:r>
          </w:p>
        </w:tc>
      </w:tr>
      <w:tr w14:paraId="085E691A">
        <w:trPr>
          <w:trHeight w:val="90" w:hRule="atLeast"/>
        </w:trPr>
        <w:tc>
          <w:tcPr>
            <w:tcW w:w="432" w:type="pct"/>
            <w:vMerge w:val="continue"/>
            <w:tcBorders>
              <w:top w:val="single" w:color="auto" w:sz="2" w:space="0"/>
              <w:left w:val="single" w:color="auto" w:sz="2" w:space="0"/>
              <w:bottom w:val="single" w:color="auto" w:sz="2" w:space="0"/>
              <w:right w:val="single" w:color="auto" w:sz="2" w:space="0"/>
            </w:tcBorders>
          </w:tcPr>
          <w:p w14:paraId="2BF788DC">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tcBorders>
              <w:top w:val="single" w:color="auto" w:sz="2" w:space="0"/>
              <w:left w:val="single" w:color="auto" w:sz="2" w:space="0"/>
              <w:bottom w:val="single" w:color="auto" w:sz="2" w:space="0"/>
              <w:right w:val="single" w:color="auto" w:sz="2" w:space="0"/>
            </w:tcBorders>
            <w:shd w:val="clear" w:color="auto" w:fill="auto"/>
            <w:vAlign w:val="center"/>
          </w:tcPr>
          <w:p w14:paraId="47D753A6">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生源质量</w:t>
            </w:r>
          </w:p>
          <w:p w14:paraId="5A90B90B">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lang w:val="en-US" w:eastAsia="zh-CN"/>
              </w:rPr>
              <w:t>（3分）</w:t>
            </w:r>
          </w:p>
        </w:tc>
        <w:tc>
          <w:tcPr>
            <w:tcW w:w="3566" w:type="pct"/>
            <w:tcBorders>
              <w:top w:val="single" w:color="auto" w:sz="2" w:space="0"/>
              <w:left w:val="single" w:color="auto" w:sz="2" w:space="0"/>
              <w:bottom w:val="single" w:color="auto" w:sz="2" w:space="0"/>
              <w:right w:val="single" w:color="auto" w:sz="2" w:space="0"/>
            </w:tcBorders>
            <w:shd w:val="clear" w:color="auto" w:fill="auto"/>
            <w:vAlign w:val="center"/>
          </w:tcPr>
          <w:p w14:paraId="254C74C4">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bCs/>
                <w:color w:val="auto"/>
                <w:sz w:val="21"/>
                <w:szCs w:val="21"/>
                <w:u w:val="none"/>
                <w:lang w:val="en-US" w:eastAsia="zh-CN"/>
              </w:rPr>
            </w:pPr>
            <w:r>
              <w:rPr>
                <w:rFonts w:hint="eastAsia" w:ascii="仿宋" w:hAnsi="仿宋" w:eastAsia="仿宋" w:cs="仿宋"/>
                <w:b/>
                <w:bCs/>
                <w:color w:val="auto"/>
                <w:sz w:val="21"/>
                <w:szCs w:val="21"/>
                <w:u w:val="none"/>
                <w:lang w:val="en-US" w:eastAsia="zh-CN"/>
              </w:rPr>
              <w:t>1.</w:t>
            </w:r>
            <w:r>
              <w:rPr>
                <w:rFonts w:hint="eastAsia" w:ascii="仿宋" w:hAnsi="仿宋" w:eastAsia="仿宋" w:cs="仿宋"/>
                <w:b w:val="0"/>
                <w:bCs w:val="0"/>
                <w:color w:val="auto"/>
                <w:sz w:val="21"/>
                <w:szCs w:val="21"/>
                <w:u w:val="none"/>
              </w:rPr>
              <w:t>省内普高一段分数线以上录取率≥30%（或同类院校投档排名≤40%）得</w:t>
            </w:r>
            <w:r>
              <w:rPr>
                <w:rFonts w:hint="eastAsia" w:ascii="仿宋" w:hAnsi="仿宋" w:eastAsia="仿宋" w:cs="仿宋"/>
                <w:b w:val="0"/>
                <w:bCs w:val="0"/>
                <w:color w:val="auto"/>
                <w:sz w:val="21"/>
                <w:szCs w:val="21"/>
                <w:u w:val="none"/>
                <w:lang w:val="en-US" w:eastAsia="zh-CN"/>
              </w:rPr>
              <w:t>1</w:t>
            </w:r>
            <w:r>
              <w:rPr>
                <w:rFonts w:hint="eastAsia" w:ascii="仿宋" w:hAnsi="仿宋" w:eastAsia="仿宋" w:cs="仿宋"/>
                <w:b w:val="0"/>
                <w:bCs w:val="0"/>
                <w:color w:val="auto"/>
                <w:sz w:val="21"/>
                <w:szCs w:val="21"/>
                <w:u w:val="none"/>
              </w:rPr>
              <w:t>分</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录取率≥20%（或排名≤50%）得</w:t>
            </w:r>
            <w:r>
              <w:rPr>
                <w:rFonts w:hint="eastAsia" w:ascii="仿宋" w:hAnsi="仿宋" w:eastAsia="仿宋" w:cs="仿宋"/>
                <w:b w:val="0"/>
                <w:bCs w:val="0"/>
                <w:color w:val="auto"/>
                <w:sz w:val="21"/>
                <w:szCs w:val="21"/>
                <w:u w:val="none"/>
                <w:lang w:val="en-US" w:eastAsia="zh-CN"/>
              </w:rPr>
              <w:t>0.7</w:t>
            </w:r>
            <w:r>
              <w:rPr>
                <w:rFonts w:hint="eastAsia" w:ascii="仿宋" w:hAnsi="仿宋" w:eastAsia="仿宋" w:cs="仿宋"/>
                <w:b w:val="0"/>
                <w:bCs w:val="0"/>
                <w:color w:val="auto"/>
                <w:sz w:val="21"/>
                <w:szCs w:val="21"/>
                <w:u w:val="none"/>
              </w:rPr>
              <w:t>分</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录取率≥10%（或排名≤60%）得</w:t>
            </w:r>
            <w:r>
              <w:rPr>
                <w:rFonts w:hint="eastAsia" w:ascii="仿宋" w:hAnsi="仿宋" w:eastAsia="仿宋" w:cs="仿宋"/>
                <w:b w:val="0"/>
                <w:bCs w:val="0"/>
                <w:color w:val="auto"/>
                <w:sz w:val="21"/>
                <w:szCs w:val="21"/>
                <w:u w:val="none"/>
                <w:lang w:val="en-US" w:eastAsia="zh-CN"/>
              </w:rPr>
              <w:t>0.5</w:t>
            </w:r>
            <w:r>
              <w:rPr>
                <w:rFonts w:hint="eastAsia" w:ascii="仿宋" w:hAnsi="仿宋" w:eastAsia="仿宋" w:cs="仿宋"/>
                <w:b w:val="0"/>
                <w:bCs w:val="0"/>
                <w:color w:val="auto"/>
                <w:sz w:val="21"/>
                <w:szCs w:val="21"/>
                <w:u w:val="none"/>
              </w:rPr>
              <w:t>分</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录取率＜10%但录取人数多于上年（或排名≤70%）得</w:t>
            </w:r>
            <w:r>
              <w:rPr>
                <w:rFonts w:hint="eastAsia" w:ascii="仿宋" w:hAnsi="仿宋" w:eastAsia="仿宋" w:cs="仿宋"/>
                <w:b w:val="0"/>
                <w:bCs w:val="0"/>
                <w:color w:val="auto"/>
                <w:sz w:val="21"/>
                <w:szCs w:val="21"/>
                <w:u w:val="none"/>
                <w:lang w:val="en-US" w:eastAsia="zh-CN"/>
              </w:rPr>
              <w:t>0.2</w:t>
            </w:r>
            <w:r>
              <w:rPr>
                <w:rFonts w:hint="eastAsia" w:ascii="仿宋" w:hAnsi="仿宋" w:eastAsia="仿宋" w:cs="仿宋"/>
                <w:b w:val="0"/>
                <w:bCs w:val="0"/>
                <w:color w:val="auto"/>
                <w:sz w:val="21"/>
                <w:szCs w:val="21"/>
                <w:u w:val="none"/>
              </w:rPr>
              <w:t>分；新生报到率</w:t>
            </w:r>
            <w:r>
              <w:rPr>
                <w:rFonts w:hint="eastAsia" w:ascii="仿宋" w:hAnsi="仿宋" w:eastAsia="仿宋" w:cs="仿宋"/>
                <w:b w:val="0"/>
                <w:bCs w:val="0"/>
                <w:color w:val="auto"/>
                <w:sz w:val="21"/>
                <w:szCs w:val="21"/>
                <w:u w:val="none"/>
                <w:lang w:val="en-US" w:eastAsia="zh-CN"/>
              </w:rPr>
              <w:t>低于</w:t>
            </w:r>
            <w:r>
              <w:rPr>
                <w:rFonts w:hint="eastAsia" w:ascii="仿宋" w:hAnsi="仿宋" w:eastAsia="仿宋" w:cs="仿宋"/>
                <w:b w:val="0"/>
                <w:bCs w:val="0"/>
                <w:color w:val="auto"/>
                <w:sz w:val="21"/>
                <w:szCs w:val="21"/>
                <w:u w:val="none"/>
              </w:rPr>
              <w:t>96%</w:t>
            </w:r>
            <w:r>
              <w:rPr>
                <w:rFonts w:hint="eastAsia" w:ascii="仿宋" w:hAnsi="仿宋" w:eastAsia="仿宋" w:cs="仿宋"/>
                <w:b w:val="0"/>
                <w:bCs w:val="0"/>
                <w:color w:val="auto"/>
                <w:sz w:val="21"/>
                <w:szCs w:val="21"/>
                <w:u w:val="none"/>
                <w:lang w:eastAsia="zh-CN"/>
              </w:rPr>
              <w:t>的</w:t>
            </w:r>
            <w:r>
              <w:rPr>
                <w:rFonts w:hint="eastAsia" w:ascii="仿宋" w:hAnsi="仿宋" w:eastAsia="仿宋" w:cs="仿宋"/>
                <w:b w:val="0"/>
                <w:bCs w:val="0"/>
                <w:color w:val="auto"/>
                <w:sz w:val="21"/>
                <w:szCs w:val="21"/>
                <w:u w:val="none"/>
                <w:lang w:val="en-US" w:eastAsia="zh-CN"/>
              </w:rPr>
              <w:t>本项</w:t>
            </w:r>
            <w:r>
              <w:rPr>
                <w:rFonts w:hint="eastAsia" w:ascii="仿宋" w:hAnsi="仿宋" w:eastAsia="仿宋" w:cs="仿宋"/>
                <w:b w:val="0"/>
                <w:bCs w:val="0"/>
                <w:color w:val="auto"/>
                <w:sz w:val="21"/>
                <w:szCs w:val="21"/>
                <w:u w:val="none"/>
              </w:rPr>
              <w:t>不得分。（排名取各专业排名的平均值，其中全省专业布点数不足3个的不计入，中外合作不分专业，取全省同类院校所有中外合作专业的排名）</w:t>
            </w:r>
            <w:r>
              <w:rPr>
                <w:rFonts w:hint="eastAsia" w:ascii="仿宋" w:hAnsi="仿宋" w:eastAsia="仿宋" w:cs="仿宋"/>
                <w:b w:val="0"/>
                <w:bCs w:val="0"/>
                <w:color w:val="auto"/>
                <w:sz w:val="21"/>
                <w:szCs w:val="21"/>
                <w:u w:val="none"/>
                <w:lang w:eastAsia="zh-CN"/>
              </w:rPr>
              <w:t>。</w:t>
            </w:r>
          </w:p>
          <w:p w14:paraId="4C096B82">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eastAsia="zh-CN"/>
              </w:rPr>
            </w:pPr>
            <w:r>
              <w:rPr>
                <w:rFonts w:hint="eastAsia" w:ascii="仿宋" w:hAnsi="仿宋" w:eastAsia="仿宋" w:cs="仿宋"/>
                <w:b/>
                <w:bCs/>
                <w:color w:val="auto"/>
                <w:sz w:val="21"/>
                <w:szCs w:val="21"/>
                <w:u w:val="none"/>
              </w:rPr>
              <w:t>2.</w:t>
            </w:r>
            <w:r>
              <w:rPr>
                <w:rFonts w:hint="eastAsia" w:ascii="仿宋" w:hAnsi="仿宋" w:eastAsia="仿宋" w:cs="仿宋"/>
                <w:b w:val="0"/>
                <w:bCs w:val="0"/>
                <w:color w:val="auto"/>
                <w:sz w:val="21"/>
                <w:szCs w:val="21"/>
                <w:u w:val="none"/>
              </w:rPr>
              <w:t>免试升学每录取1人得</w:t>
            </w:r>
            <w:r>
              <w:rPr>
                <w:rFonts w:hint="eastAsia" w:ascii="仿宋" w:hAnsi="仿宋" w:eastAsia="仿宋" w:cs="仿宋"/>
                <w:b w:val="0"/>
                <w:bCs w:val="0"/>
                <w:color w:val="auto"/>
                <w:sz w:val="21"/>
                <w:szCs w:val="21"/>
                <w:u w:val="none"/>
                <w:lang w:val="en-US" w:eastAsia="zh-CN"/>
              </w:rPr>
              <w:t>0.5</w:t>
            </w:r>
            <w:r>
              <w:rPr>
                <w:rFonts w:hint="eastAsia" w:ascii="仿宋" w:hAnsi="仿宋" w:eastAsia="仿宋" w:cs="仿宋"/>
                <w:b w:val="0"/>
                <w:bCs w:val="0"/>
                <w:color w:val="auto"/>
                <w:sz w:val="21"/>
                <w:szCs w:val="21"/>
                <w:u w:val="none"/>
              </w:rPr>
              <w:t>分，累计不超过</w:t>
            </w:r>
            <w:r>
              <w:rPr>
                <w:rFonts w:hint="eastAsia" w:ascii="仿宋" w:hAnsi="仿宋" w:eastAsia="仿宋" w:cs="仿宋"/>
                <w:b w:val="0"/>
                <w:bCs w:val="0"/>
                <w:color w:val="auto"/>
                <w:sz w:val="21"/>
                <w:szCs w:val="21"/>
                <w:u w:val="none"/>
                <w:lang w:val="en-US" w:eastAsia="zh-CN"/>
              </w:rPr>
              <w:t>1</w:t>
            </w:r>
            <w:r>
              <w:rPr>
                <w:rFonts w:hint="eastAsia" w:ascii="仿宋" w:hAnsi="仿宋" w:eastAsia="仿宋" w:cs="仿宋"/>
                <w:b w:val="0"/>
                <w:bCs w:val="0"/>
                <w:color w:val="auto"/>
                <w:sz w:val="21"/>
                <w:szCs w:val="21"/>
                <w:u w:val="none"/>
              </w:rPr>
              <w:t>分</w:t>
            </w:r>
            <w:r>
              <w:rPr>
                <w:rFonts w:hint="eastAsia" w:ascii="仿宋" w:hAnsi="仿宋" w:eastAsia="仿宋" w:cs="仿宋"/>
                <w:b w:val="0"/>
                <w:bCs w:val="0"/>
                <w:color w:val="auto"/>
                <w:sz w:val="21"/>
                <w:szCs w:val="21"/>
                <w:u w:val="none"/>
                <w:lang w:eastAsia="zh-CN"/>
              </w:rPr>
              <w:t>。</w:t>
            </w:r>
          </w:p>
          <w:p w14:paraId="684B532F">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bCs/>
                <w:color w:val="auto"/>
                <w:sz w:val="21"/>
                <w:szCs w:val="21"/>
                <w:u w:val="none"/>
                <w:lang w:val="en-US" w:eastAsia="zh-CN"/>
              </w:rPr>
              <w:t>3</w:t>
            </w:r>
            <w:r>
              <w:rPr>
                <w:rFonts w:hint="eastAsia" w:ascii="仿宋" w:hAnsi="仿宋" w:eastAsia="仿宋" w:cs="仿宋"/>
                <w:b/>
                <w:bCs/>
                <w:color w:val="auto"/>
                <w:sz w:val="21"/>
                <w:szCs w:val="21"/>
                <w:u w:val="none"/>
              </w:rPr>
              <w:t>.</w:t>
            </w:r>
            <w:r>
              <w:rPr>
                <w:rFonts w:hint="eastAsia" w:ascii="仿宋" w:hAnsi="仿宋" w:eastAsia="仿宋" w:cs="仿宋"/>
                <w:b w:val="0"/>
                <w:bCs w:val="0"/>
                <w:color w:val="auto"/>
                <w:sz w:val="21"/>
                <w:szCs w:val="21"/>
                <w:u w:val="none"/>
              </w:rPr>
              <w:t>长学制人才培养</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lang w:val="en-US" w:eastAsia="zh-CN"/>
              </w:rPr>
              <w:t>中高职一体化招生计划人数不低于上年得0.5分，占比高于上年学院总招生人数40%者得1分，其余不得分。</w:t>
            </w:r>
          </w:p>
        </w:tc>
        <w:tc>
          <w:tcPr>
            <w:tcW w:w="457" w:type="pct"/>
            <w:vMerge w:val="restart"/>
            <w:tcBorders>
              <w:top w:val="single" w:color="auto" w:sz="2" w:space="0"/>
              <w:left w:val="single" w:color="auto" w:sz="2" w:space="0"/>
              <w:right w:val="single" w:color="auto" w:sz="2" w:space="0"/>
            </w:tcBorders>
            <w:shd w:val="clear" w:color="auto" w:fill="auto"/>
            <w:vAlign w:val="center"/>
          </w:tcPr>
          <w:p w14:paraId="21B64E2F">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招生与就业指导中心</w:t>
            </w:r>
          </w:p>
          <w:p w14:paraId="6456D79C">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心</w:t>
            </w:r>
          </w:p>
        </w:tc>
      </w:tr>
      <w:tr w14:paraId="334C0489">
        <w:trPr>
          <w:trHeight w:val="1609" w:hRule="atLeast"/>
        </w:trPr>
        <w:tc>
          <w:tcPr>
            <w:tcW w:w="432" w:type="pct"/>
            <w:vMerge w:val="continue"/>
            <w:tcBorders>
              <w:top w:val="single" w:color="auto" w:sz="2" w:space="0"/>
              <w:left w:val="single" w:color="auto" w:sz="2" w:space="0"/>
              <w:bottom w:val="single" w:color="auto" w:sz="2" w:space="0"/>
              <w:right w:val="single" w:color="auto" w:sz="2" w:space="0"/>
            </w:tcBorders>
          </w:tcPr>
          <w:p w14:paraId="6AFAAA2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val="0"/>
                <w:bCs w:val="0"/>
                <w:color w:val="auto"/>
                <w:sz w:val="21"/>
                <w:szCs w:val="21"/>
                <w:u w:val="none"/>
                <w:lang w:eastAsia="zh-CN"/>
              </w:rPr>
            </w:pPr>
          </w:p>
        </w:tc>
        <w:tc>
          <w:tcPr>
            <w:tcW w:w="543" w:type="pct"/>
            <w:tcBorders>
              <w:top w:val="single" w:color="auto" w:sz="2" w:space="0"/>
              <w:left w:val="single" w:color="auto" w:sz="2" w:space="0"/>
              <w:bottom w:val="single" w:color="auto" w:sz="2" w:space="0"/>
              <w:right w:val="single" w:color="auto" w:sz="2" w:space="0"/>
            </w:tcBorders>
            <w:vAlign w:val="center"/>
          </w:tcPr>
          <w:p w14:paraId="5254991B">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rPr>
              <w:t>应届毕业生就业</w:t>
            </w:r>
            <w:r>
              <w:rPr>
                <w:rFonts w:hint="eastAsia" w:ascii="仿宋" w:hAnsi="仿宋" w:eastAsia="仿宋" w:cs="仿宋"/>
                <w:b w:val="0"/>
                <w:bCs w:val="0"/>
                <w:color w:val="auto"/>
                <w:sz w:val="21"/>
                <w:szCs w:val="21"/>
                <w:highlight w:val="none"/>
                <w:u w:val="none"/>
                <w:lang w:val="en-US" w:eastAsia="zh-CN"/>
              </w:rPr>
              <w:t>（5分）</w:t>
            </w:r>
          </w:p>
        </w:tc>
        <w:tc>
          <w:tcPr>
            <w:tcW w:w="3566" w:type="pct"/>
            <w:tcBorders>
              <w:top w:val="single" w:color="auto" w:sz="2" w:space="0"/>
              <w:left w:val="single" w:color="auto" w:sz="2" w:space="0"/>
              <w:bottom w:val="single" w:color="auto" w:sz="2" w:space="0"/>
              <w:right w:val="single" w:color="auto" w:sz="2" w:space="0"/>
            </w:tcBorders>
            <w:vAlign w:val="center"/>
          </w:tcPr>
          <w:p w14:paraId="5A8F5B76">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1.</w:t>
            </w:r>
            <w:r>
              <w:rPr>
                <w:rFonts w:hint="eastAsia" w:ascii="仿宋" w:hAnsi="仿宋" w:eastAsia="仿宋" w:cs="仿宋"/>
                <w:b w:val="0"/>
                <w:bCs w:val="0"/>
                <w:color w:val="auto"/>
                <w:sz w:val="21"/>
                <w:szCs w:val="21"/>
                <w:u w:val="none"/>
              </w:rPr>
              <w:t>访企拓岗</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根据《宁波城市职业技术学院访企拓岗促就业专项行动实施方案》完成走访任务</w:t>
            </w:r>
            <w:r>
              <w:rPr>
                <w:rFonts w:hint="eastAsia" w:ascii="仿宋" w:hAnsi="仿宋" w:eastAsia="仿宋" w:cs="仿宋"/>
                <w:b w:val="0"/>
                <w:bCs w:val="0"/>
                <w:color w:val="auto"/>
                <w:sz w:val="21"/>
                <w:szCs w:val="21"/>
                <w:u w:val="none"/>
                <w:lang w:val="en-US" w:eastAsia="zh-CN"/>
              </w:rPr>
              <w:t>得1分</w:t>
            </w:r>
            <w:r>
              <w:rPr>
                <w:rFonts w:hint="eastAsia" w:ascii="仿宋" w:hAnsi="仿宋" w:eastAsia="仿宋" w:cs="仿宋"/>
                <w:b w:val="0"/>
                <w:bCs w:val="0"/>
                <w:color w:val="auto"/>
                <w:sz w:val="21"/>
                <w:szCs w:val="21"/>
                <w:u w:val="none"/>
              </w:rPr>
              <w:t>，走访指标未完成的不得分</w:t>
            </w:r>
            <w:r>
              <w:rPr>
                <w:rFonts w:hint="eastAsia" w:ascii="仿宋" w:hAnsi="仿宋" w:eastAsia="仿宋" w:cs="仿宋"/>
                <w:b w:val="0"/>
                <w:bCs w:val="0"/>
                <w:color w:val="auto"/>
                <w:sz w:val="21"/>
                <w:szCs w:val="21"/>
                <w:u w:val="none"/>
                <w:lang w:eastAsia="zh-CN"/>
              </w:rPr>
              <w:t>。</w:t>
            </w:r>
          </w:p>
          <w:p w14:paraId="580E3E31">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2.留甬率（2分）：50%及以上按格次赋分法赋分；未到50%但超过全校平均线赋1分；未到50%和全校平均线的，但与往年有提升赋0.5分；其余不得分。</w:t>
            </w:r>
          </w:p>
          <w:p w14:paraId="268D64ED">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rPr>
            </w:pPr>
            <w:r>
              <w:rPr>
                <w:rFonts w:hint="eastAsia" w:ascii="仿宋" w:hAnsi="仿宋" w:eastAsia="仿宋" w:cs="仿宋"/>
                <w:b/>
                <w:bCs/>
                <w:color w:val="auto"/>
                <w:sz w:val="21"/>
                <w:szCs w:val="21"/>
                <w:u w:val="none"/>
                <w:lang w:val="en-US" w:eastAsia="zh-CN"/>
              </w:rPr>
              <w:t>3.</w:t>
            </w:r>
            <w:r>
              <w:rPr>
                <w:rFonts w:hint="eastAsia" w:ascii="仿宋" w:hAnsi="仿宋" w:eastAsia="仿宋" w:cs="仿宋"/>
                <w:b w:val="0"/>
                <w:bCs w:val="0"/>
                <w:color w:val="auto"/>
                <w:sz w:val="21"/>
                <w:szCs w:val="21"/>
                <w:u w:val="none"/>
                <w:lang w:val="en-US" w:eastAsia="zh-CN"/>
              </w:rPr>
              <w:t>就业去向落实率：≥98%，得2分；≥97%，得1分；＜97%，不得分。就业数据监测被通报的本项不得分。</w:t>
            </w:r>
          </w:p>
        </w:tc>
        <w:tc>
          <w:tcPr>
            <w:tcW w:w="457" w:type="pct"/>
            <w:vMerge w:val="continue"/>
            <w:tcBorders>
              <w:left w:val="single" w:color="auto" w:sz="2" w:space="0"/>
              <w:right w:val="single" w:color="auto" w:sz="2" w:space="0"/>
            </w:tcBorders>
            <w:vAlign w:val="center"/>
          </w:tcPr>
          <w:p w14:paraId="35BC7FF5">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p>
        </w:tc>
      </w:tr>
      <w:tr w14:paraId="6B9BCB52">
        <w:trPr>
          <w:trHeight w:val="541" w:hRule="atLeast"/>
        </w:trPr>
        <w:tc>
          <w:tcPr>
            <w:tcW w:w="432" w:type="pct"/>
            <w:vMerge w:val="continue"/>
            <w:tcBorders>
              <w:top w:val="single" w:color="auto" w:sz="2" w:space="0"/>
              <w:left w:val="single" w:color="auto" w:sz="2" w:space="0"/>
              <w:bottom w:val="single" w:color="auto" w:sz="2" w:space="0"/>
              <w:right w:val="single" w:color="auto" w:sz="2" w:space="0"/>
            </w:tcBorders>
          </w:tcPr>
          <w:p w14:paraId="67AF754F">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tcBorders>
              <w:top w:val="single" w:color="auto" w:sz="2" w:space="0"/>
              <w:left w:val="single" w:color="auto" w:sz="2" w:space="0"/>
              <w:bottom w:val="single" w:color="auto" w:sz="2" w:space="0"/>
              <w:right w:val="single" w:color="auto" w:sz="2" w:space="0"/>
            </w:tcBorders>
            <w:vAlign w:val="center"/>
          </w:tcPr>
          <w:p w14:paraId="1C40091D">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rPr>
              <w:t>毕业一年后就业</w:t>
            </w:r>
            <w:r>
              <w:rPr>
                <w:rFonts w:hint="eastAsia" w:ascii="仿宋" w:hAnsi="仿宋" w:eastAsia="仿宋" w:cs="仿宋"/>
                <w:b w:val="0"/>
                <w:bCs w:val="0"/>
                <w:color w:val="auto"/>
                <w:sz w:val="21"/>
                <w:szCs w:val="21"/>
                <w:highlight w:val="none"/>
                <w:u w:val="none"/>
                <w:lang w:val="en-US" w:eastAsia="zh-CN"/>
              </w:rPr>
              <w:t>发展</w:t>
            </w:r>
            <w:r>
              <w:rPr>
                <w:rFonts w:hint="eastAsia" w:ascii="仿宋" w:hAnsi="仿宋" w:eastAsia="仿宋" w:cs="仿宋"/>
                <w:b w:val="0"/>
                <w:bCs w:val="0"/>
                <w:color w:val="auto"/>
                <w:sz w:val="21"/>
                <w:szCs w:val="21"/>
                <w:highlight w:val="none"/>
                <w:u w:val="none"/>
              </w:rPr>
              <w:t>及</w:t>
            </w:r>
            <w:r>
              <w:rPr>
                <w:rFonts w:hint="eastAsia" w:ascii="仿宋" w:hAnsi="仿宋" w:eastAsia="仿宋" w:cs="仿宋"/>
                <w:b w:val="0"/>
                <w:bCs w:val="0"/>
                <w:color w:val="auto"/>
                <w:sz w:val="21"/>
                <w:szCs w:val="21"/>
                <w:highlight w:val="none"/>
                <w:u w:val="none"/>
                <w:lang w:val="en-US" w:eastAsia="zh-CN"/>
              </w:rPr>
              <w:t>人才培养质量调查</w:t>
            </w:r>
            <w:r>
              <w:rPr>
                <w:rFonts w:hint="eastAsia" w:ascii="仿宋" w:hAnsi="仿宋" w:eastAsia="仿宋" w:cs="仿宋"/>
                <w:b w:val="0"/>
                <w:bCs w:val="0"/>
                <w:color w:val="auto"/>
                <w:sz w:val="21"/>
                <w:szCs w:val="21"/>
                <w:highlight w:val="none"/>
                <w:u w:val="none"/>
              </w:rPr>
              <w:t>情况</w:t>
            </w:r>
            <w:r>
              <w:rPr>
                <w:rFonts w:hint="eastAsia" w:ascii="仿宋" w:hAnsi="仿宋" w:eastAsia="仿宋" w:cs="仿宋"/>
                <w:b w:val="0"/>
                <w:bCs w:val="0"/>
                <w:color w:val="auto"/>
                <w:sz w:val="21"/>
                <w:szCs w:val="21"/>
                <w:highlight w:val="none"/>
                <w:u w:val="none"/>
                <w:lang w:val="en-US" w:eastAsia="zh-CN"/>
              </w:rPr>
              <w:t>（4分）</w:t>
            </w:r>
          </w:p>
        </w:tc>
        <w:tc>
          <w:tcPr>
            <w:tcW w:w="3566" w:type="pct"/>
            <w:tcBorders>
              <w:top w:val="single" w:color="auto" w:sz="2" w:space="0"/>
              <w:left w:val="single" w:color="auto" w:sz="2" w:space="0"/>
              <w:bottom w:val="single" w:color="auto" w:sz="2" w:space="0"/>
              <w:right w:val="single" w:color="auto" w:sz="2" w:space="0"/>
            </w:tcBorders>
            <w:vAlign w:val="center"/>
          </w:tcPr>
          <w:p w14:paraId="128BB414">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eastAsia="zh-CN"/>
              </w:rPr>
            </w:pPr>
            <w:r>
              <w:rPr>
                <w:rFonts w:hint="eastAsia" w:ascii="仿宋" w:hAnsi="仿宋" w:eastAsia="仿宋" w:cs="仿宋"/>
                <w:b/>
                <w:bCs/>
                <w:color w:val="auto"/>
                <w:sz w:val="21"/>
                <w:szCs w:val="21"/>
                <w:u w:val="none"/>
              </w:rPr>
              <w:t>1.</w:t>
            </w:r>
            <w:r>
              <w:rPr>
                <w:rFonts w:hint="eastAsia" w:ascii="仿宋" w:hAnsi="仿宋" w:eastAsia="仿宋" w:cs="仿宋"/>
                <w:b w:val="0"/>
                <w:bCs w:val="0"/>
                <w:color w:val="auto"/>
                <w:sz w:val="21"/>
                <w:szCs w:val="21"/>
                <w:u w:val="none"/>
              </w:rPr>
              <w:t>毕业一年后就业率（毕业生职业发展及人才培养质量调查）：≥98%（或高于省内同类平均的专业</w:t>
            </w:r>
            <w:r>
              <w:rPr>
                <w:rFonts w:hint="eastAsia" w:ascii="仿宋" w:hAnsi="仿宋" w:eastAsia="仿宋" w:cs="仿宋"/>
                <w:b w:val="0"/>
                <w:bCs w:val="0"/>
                <w:color w:val="auto"/>
                <w:sz w:val="21"/>
                <w:szCs w:val="21"/>
                <w:u w:val="none"/>
                <w:lang w:val="en-US" w:eastAsia="zh-CN"/>
              </w:rPr>
              <w:t>数</w:t>
            </w:r>
            <w:r>
              <w:rPr>
                <w:rFonts w:hint="eastAsia" w:ascii="仿宋" w:hAnsi="仿宋" w:eastAsia="仿宋" w:cs="仿宋"/>
                <w:b w:val="0"/>
                <w:bCs w:val="0"/>
                <w:color w:val="auto"/>
                <w:sz w:val="21"/>
                <w:szCs w:val="21"/>
                <w:u w:val="none"/>
              </w:rPr>
              <w:t>占比≥60%）</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得</w:t>
            </w:r>
            <w:r>
              <w:rPr>
                <w:rFonts w:hint="eastAsia" w:ascii="仿宋" w:hAnsi="仿宋" w:eastAsia="仿宋" w:cs="仿宋"/>
                <w:b w:val="0"/>
                <w:bCs w:val="0"/>
                <w:color w:val="auto"/>
                <w:sz w:val="21"/>
                <w:szCs w:val="21"/>
                <w:u w:val="none"/>
                <w:lang w:val="en-US" w:eastAsia="zh-CN"/>
              </w:rPr>
              <w:t>1</w:t>
            </w:r>
            <w:r>
              <w:rPr>
                <w:rFonts w:hint="eastAsia" w:ascii="仿宋" w:hAnsi="仿宋" w:eastAsia="仿宋" w:cs="仿宋"/>
                <w:b w:val="0"/>
                <w:bCs w:val="0"/>
                <w:color w:val="auto"/>
                <w:sz w:val="21"/>
                <w:szCs w:val="21"/>
                <w:u w:val="none"/>
              </w:rPr>
              <w:t>分</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≥97%（或高于省内同类平均的专业</w:t>
            </w:r>
            <w:r>
              <w:rPr>
                <w:rFonts w:hint="eastAsia" w:ascii="仿宋" w:hAnsi="仿宋" w:eastAsia="仿宋" w:cs="仿宋"/>
                <w:b w:val="0"/>
                <w:bCs w:val="0"/>
                <w:color w:val="auto"/>
                <w:sz w:val="21"/>
                <w:szCs w:val="21"/>
                <w:u w:val="none"/>
                <w:lang w:val="en-US" w:eastAsia="zh-CN"/>
              </w:rPr>
              <w:t>数</w:t>
            </w:r>
            <w:r>
              <w:rPr>
                <w:rFonts w:hint="eastAsia" w:ascii="仿宋" w:hAnsi="仿宋" w:eastAsia="仿宋" w:cs="仿宋"/>
                <w:b w:val="0"/>
                <w:bCs w:val="0"/>
                <w:color w:val="auto"/>
                <w:sz w:val="21"/>
                <w:szCs w:val="21"/>
                <w:u w:val="none"/>
              </w:rPr>
              <w:t>占比≥50%）</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得</w:t>
            </w:r>
            <w:r>
              <w:rPr>
                <w:rFonts w:hint="eastAsia" w:ascii="仿宋" w:hAnsi="仿宋" w:eastAsia="仿宋" w:cs="仿宋"/>
                <w:b w:val="0"/>
                <w:bCs w:val="0"/>
                <w:color w:val="auto"/>
                <w:sz w:val="21"/>
                <w:szCs w:val="21"/>
                <w:u w:val="none"/>
                <w:lang w:val="en-US" w:eastAsia="zh-CN"/>
              </w:rPr>
              <w:t>0.5</w:t>
            </w:r>
            <w:r>
              <w:rPr>
                <w:rFonts w:hint="eastAsia" w:ascii="仿宋" w:hAnsi="仿宋" w:eastAsia="仿宋" w:cs="仿宋"/>
                <w:b w:val="0"/>
                <w:bCs w:val="0"/>
                <w:color w:val="auto"/>
                <w:sz w:val="21"/>
                <w:szCs w:val="21"/>
                <w:u w:val="none"/>
              </w:rPr>
              <w:t>分</w:t>
            </w:r>
            <w:r>
              <w:rPr>
                <w:rFonts w:hint="eastAsia" w:ascii="仿宋" w:hAnsi="仿宋" w:eastAsia="仿宋" w:cs="仿宋"/>
                <w:b w:val="0"/>
                <w:bCs w:val="0"/>
                <w:color w:val="auto"/>
                <w:sz w:val="21"/>
                <w:szCs w:val="21"/>
                <w:u w:val="none"/>
                <w:lang w:eastAsia="zh-CN"/>
              </w:rPr>
              <w:t>。</w:t>
            </w:r>
          </w:p>
          <w:p w14:paraId="6789F54B">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eastAsia="zh-CN"/>
              </w:rPr>
            </w:pPr>
            <w:r>
              <w:rPr>
                <w:rFonts w:hint="eastAsia" w:ascii="仿宋" w:hAnsi="仿宋" w:eastAsia="仿宋" w:cs="仿宋"/>
                <w:b/>
                <w:bCs/>
                <w:color w:val="auto"/>
                <w:sz w:val="21"/>
                <w:szCs w:val="21"/>
                <w:u w:val="none"/>
              </w:rPr>
              <w:t>2.</w:t>
            </w:r>
            <w:r>
              <w:rPr>
                <w:rFonts w:hint="eastAsia" w:ascii="仿宋" w:hAnsi="仿宋" w:eastAsia="仿宋" w:cs="仿宋"/>
                <w:b w:val="0"/>
                <w:bCs w:val="0"/>
                <w:color w:val="auto"/>
                <w:sz w:val="21"/>
                <w:szCs w:val="21"/>
                <w:u w:val="none"/>
              </w:rPr>
              <w:t>毕业一年后薪酬（毕业生职业发展及人才培养质量调查）：高于全省高职平均值的10%（或高于省内同类平均的专业</w:t>
            </w:r>
            <w:r>
              <w:rPr>
                <w:rFonts w:hint="eastAsia" w:ascii="仿宋" w:hAnsi="仿宋" w:eastAsia="仿宋" w:cs="仿宋"/>
                <w:b w:val="0"/>
                <w:bCs w:val="0"/>
                <w:color w:val="auto"/>
                <w:sz w:val="21"/>
                <w:szCs w:val="21"/>
                <w:u w:val="none"/>
                <w:lang w:val="en-US" w:eastAsia="zh-CN"/>
              </w:rPr>
              <w:t>数</w:t>
            </w:r>
            <w:r>
              <w:rPr>
                <w:rFonts w:hint="eastAsia" w:ascii="仿宋" w:hAnsi="仿宋" w:eastAsia="仿宋" w:cs="仿宋"/>
                <w:b w:val="0"/>
                <w:bCs w:val="0"/>
                <w:color w:val="auto"/>
                <w:sz w:val="21"/>
                <w:szCs w:val="21"/>
                <w:u w:val="none"/>
              </w:rPr>
              <w:t>占比≥50%）</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得</w:t>
            </w:r>
            <w:r>
              <w:rPr>
                <w:rFonts w:hint="eastAsia" w:ascii="仿宋" w:hAnsi="仿宋" w:eastAsia="仿宋" w:cs="仿宋"/>
                <w:b w:val="0"/>
                <w:bCs w:val="0"/>
                <w:color w:val="auto"/>
                <w:sz w:val="21"/>
                <w:szCs w:val="21"/>
                <w:u w:val="none"/>
                <w:lang w:val="en-US" w:eastAsia="zh-CN"/>
              </w:rPr>
              <w:t>1</w:t>
            </w:r>
            <w:r>
              <w:rPr>
                <w:rFonts w:hint="eastAsia" w:ascii="仿宋" w:hAnsi="仿宋" w:eastAsia="仿宋" w:cs="仿宋"/>
                <w:b w:val="0"/>
                <w:bCs w:val="0"/>
                <w:color w:val="auto"/>
                <w:sz w:val="21"/>
                <w:szCs w:val="21"/>
                <w:u w:val="none"/>
              </w:rPr>
              <w:t>分</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高于省平均值的5%（或高于省内同类平均的专业</w:t>
            </w:r>
            <w:r>
              <w:rPr>
                <w:rFonts w:hint="eastAsia" w:ascii="仿宋" w:hAnsi="仿宋" w:eastAsia="仿宋" w:cs="仿宋"/>
                <w:b w:val="0"/>
                <w:bCs w:val="0"/>
                <w:color w:val="auto"/>
                <w:sz w:val="21"/>
                <w:szCs w:val="21"/>
                <w:u w:val="none"/>
                <w:lang w:val="en-US" w:eastAsia="zh-CN"/>
              </w:rPr>
              <w:t>数</w:t>
            </w:r>
            <w:r>
              <w:rPr>
                <w:rFonts w:hint="eastAsia" w:ascii="仿宋" w:hAnsi="仿宋" w:eastAsia="仿宋" w:cs="仿宋"/>
                <w:b w:val="0"/>
                <w:bCs w:val="0"/>
                <w:color w:val="auto"/>
                <w:sz w:val="21"/>
                <w:szCs w:val="21"/>
                <w:u w:val="none"/>
              </w:rPr>
              <w:t>占比≥40%）</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得</w:t>
            </w:r>
            <w:r>
              <w:rPr>
                <w:rFonts w:hint="eastAsia" w:ascii="仿宋" w:hAnsi="仿宋" w:eastAsia="仿宋" w:cs="仿宋"/>
                <w:b w:val="0"/>
                <w:bCs w:val="0"/>
                <w:color w:val="auto"/>
                <w:sz w:val="21"/>
                <w:szCs w:val="21"/>
                <w:highlight w:val="none"/>
                <w:u w:val="none"/>
                <w:lang w:val="en-US" w:eastAsia="zh-CN"/>
              </w:rPr>
              <w:t>0.7</w:t>
            </w:r>
            <w:r>
              <w:rPr>
                <w:rFonts w:hint="eastAsia" w:ascii="仿宋" w:hAnsi="仿宋" w:eastAsia="仿宋" w:cs="仿宋"/>
                <w:b w:val="0"/>
                <w:bCs w:val="0"/>
                <w:color w:val="auto"/>
                <w:sz w:val="21"/>
                <w:szCs w:val="21"/>
                <w:u w:val="none"/>
              </w:rPr>
              <w:t>分</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达到省平均的（或高于省内同类平均的专业</w:t>
            </w:r>
            <w:r>
              <w:rPr>
                <w:rFonts w:hint="eastAsia" w:ascii="仿宋" w:hAnsi="仿宋" w:eastAsia="仿宋" w:cs="仿宋"/>
                <w:b w:val="0"/>
                <w:bCs w:val="0"/>
                <w:color w:val="auto"/>
                <w:sz w:val="21"/>
                <w:szCs w:val="21"/>
                <w:u w:val="none"/>
                <w:lang w:val="en-US" w:eastAsia="zh-CN"/>
              </w:rPr>
              <w:t>数</w:t>
            </w:r>
            <w:r>
              <w:rPr>
                <w:rFonts w:hint="eastAsia" w:ascii="仿宋" w:hAnsi="仿宋" w:eastAsia="仿宋" w:cs="仿宋"/>
                <w:b w:val="0"/>
                <w:bCs w:val="0"/>
                <w:color w:val="auto"/>
                <w:sz w:val="21"/>
                <w:szCs w:val="21"/>
                <w:u w:val="none"/>
              </w:rPr>
              <w:t>占比≥30%）</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得</w:t>
            </w:r>
            <w:r>
              <w:rPr>
                <w:rFonts w:hint="eastAsia" w:ascii="仿宋" w:hAnsi="仿宋" w:eastAsia="仿宋" w:cs="仿宋"/>
                <w:b w:val="0"/>
                <w:bCs w:val="0"/>
                <w:color w:val="auto"/>
                <w:sz w:val="21"/>
                <w:szCs w:val="21"/>
                <w:highlight w:val="none"/>
                <w:u w:val="none"/>
                <w:lang w:val="en-US" w:eastAsia="zh-CN"/>
              </w:rPr>
              <w:t>0.5</w:t>
            </w:r>
            <w:r>
              <w:rPr>
                <w:rFonts w:hint="eastAsia" w:ascii="仿宋" w:hAnsi="仿宋" w:eastAsia="仿宋" w:cs="仿宋"/>
                <w:b w:val="0"/>
                <w:bCs w:val="0"/>
                <w:color w:val="auto"/>
                <w:sz w:val="21"/>
                <w:szCs w:val="21"/>
                <w:u w:val="none"/>
              </w:rPr>
              <w:t>分</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低于省平均但较上年提升5%及以上的得</w:t>
            </w:r>
            <w:r>
              <w:rPr>
                <w:rFonts w:hint="eastAsia" w:ascii="仿宋" w:hAnsi="仿宋" w:eastAsia="仿宋" w:cs="仿宋"/>
                <w:b w:val="0"/>
                <w:bCs w:val="0"/>
                <w:color w:val="auto"/>
                <w:sz w:val="21"/>
                <w:szCs w:val="21"/>
                <w:highlight w:val="none"/>
                <w:u w:val="none"/>
                <w:lang w:val="en-US" w:eastAsia="zh-CN"/>
              </w:rPr>
              <w:t>0.2</w:t>
            </w:r>
            <w:r>
              <w:rPr>
                <w:rFonts w:hint="eastAsia" w:ascii="仿宋" w:hAnsi="仿宋" w:eastAsia="仿宋" w:cs="仿宋"/>
                <w:b w:val="0"/>
                <w:bCs w:val="0"/>
                <w:color w:val="auto"/>
                <w:sz w:val="21"/>
                <w:szCs w:val="21"/>
                <w:u w:val="none"/>
              </w:rPr>
              <w:t>分</w:t>
            </w:r>
            <w:r>
              <w:rPr>
                <w:rFonts w:hint="eastAsia" w:ascii="仿宋" w:hAnsi="仿宋" w:eastAsia="仿宋" w:cs="仿宋"/>
                <w:b w:val="0"/>
                <w:bCs w:val="0"/>
                <w:color w:val="auto"/>
                <w:sz w:val="21"/>
                <w:szCs w:val="21"/>
                <w:u w:val="none"/>
                <w:lang w:eastAsia="zh-CN"/>
              </w:rPr>
              <w:t>。</w:t>
            </w:r>
          </w:p>
          <w:p w14:paraId="163317DE">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3.</w:t>
            </w:r>
            <w:r>
              <w:rPr>
                <w:rFonts w:hint="eastAsia" w:ascii="仿宋" w:hAnsi="仿宋" w:eastAsia="仿宋" w:cs="仿宋"/>
                <w:b w:val="0"/>
                <w:bCs w:val="0"/>
                <w:color w:val="auto"/>
                <w:sz w:val="21"/>
                <w:szCs w:val="21"/>
                <w:u w:val="none"/>
              </w:rPr>
              <w:t>母校满意度（毕业生职业发展及人才培养质量调查）：高于全省高职平均且排名第1-3名的分别得</w:t>
            </w:r>
            <w:r>
              <w:rPr>
                <w:rFonts w:hint="eastAsia" w:ascii="仿宋" w:hAnsi="仿宋" w:eastAsia="仿宋" w:cs="仿宋"/>
                <w:b w:val="0"/>
                <w:bCs w:val="0"/>
                <w:color w:val="auto"/>
                <w:sz w:val="21"/>
                <w:szCs w:val="21"/>
                <w:u w:val="none"/>
                <w:lang w:val="en-US" w:eastAsia="zh-CN"/>
              </w:rPr>
              <w:t>1.5</w:t>
            </w:r>
            <w:r>
              <w:rPr>
                <w:rFonts w:hint="eastAsia" w:ascii="仿宋" w:hAnsi="仿宋" w:eastAsia="仿宋" w:cs="仿宋"/>
                <w:b w:val="0"/>
                <w:bCs w:val="0"/>
                <w:color w:val="auto"/>
                <w:sz w:val="21"/>
                <w:szCs w:val="21"/>
                <w:u w:val="none"/>
              </w:rPr>
              <w:t>分、</w:t>
            </w:r>
            <w:r>
              <w:rPr>
                <w:rFonts w:hint="eastAsia" w:ascii="仿宋" w:hAnsi="仿宋" w:eastAsia="仿宋" w:cs="仿宋"/>
                <w:b w:val="0"/>
                <w:bCs w:val="0"/>
                <w:color w:val="auto"/>
                <w:sz w:val="21"/>
                <w:szCs w:val="21"/>
                <w:u w:val="none"/>
                <w:lang w:val="en-US" w:eastAsia="zh-CN"/>
              </w:rPr>
              <w:t>1</w:t>
            </w:r>
            <w:r>
              <w:rPr>
                <w:rFonts w:hint="eastAsia" w:ascii="仿宋" w:hAnsi="仿宋" w:eastAsia="仿宋" w:cs="仿宋"/>
                <w:b w:val="0"/>
                <w:bCs w:val="0"/>
                <w:color w:val="auto"/>
                <w:sz w:val="21"/>
                <w:szCs w:val="21"/>
                <w:u w:val="none"/>
              </w:rPr>
              <w:t>分、</w:t>
            </w:r>
            <w:r>
              <w:rPr>
                <w:rFonts w:hint="eastAsia" w:ascii="仿宋" w:hAnsi="仿宋" w:eastAsia="仿宋" w:cs="仿宋"/>
                <w:b w:val="0"/>
                <w:bCs w:val="0"/>
                <w:color w:val="auto"/>
                <w:sz w:val="21"/>
                <w:szCs w:val="21"/>
                <w:u w:val="none"/>
                <w:lang w:val="en-US" w:eastAsia="zh-CN"/>
              </w:rPr>
              <w:t>0.8</w:t>
            </w:r>
            <w:r>
              <w:rPr>
                <w:rFonts w:hint="eastAsia" w:ascii="仿宋" w:hAnsi="仿宋" w:eastAsia="仿宋" w:cs="仿宋"/>
                <w:b w:val="0"/>
                <w:bCs w:val="0"/>
                <w:color w:val="auto"/>
                <w:sz w:val="21"/>
                <w:szCs w:val="21"/>
                <w:u w:val="none"/>
              </w:rPr>
              <w:t>分，其余得</w:t>
            </w:r>
            <w:r>
              <w:rPr>
                <w:rFonts w:hint="eastAsia" w:ascii="仿宋" w:hAnsi="仿宋" w:eastAsia="仿宋" w:cs="仿宋"/>
                <w:b w:val="0"/>
                <w:bCs w:val="0"/>
                <w:color w:val="auto"/>
                <w:sz w:val="21"/>
                <w:szCs w:val="21"/>
                <w:u w:val="none"/>
                <w:lang w:val="en-US" w:eastAsia="zh-CN"/>
              </w:rPr>
              <w:t>0.5</w:t>
            </w:r>
            <w:r>
              <w:rPr>
                <w:rFonts w:hint="eastAsia" w:ascii="仿宋" w:hAnsi="仿宋" w:eastAsia="仿宋" w:cs="仿宋"/>
                <w:b w:val="0"/>
                <w:bCs w:val="0"/>
                <w:color w:val="auto"/>
                <w:sz w:val="21"/>
                <w:szCs w:val="21"/>
                <w:u w:val="none"/>
              </w:rPr>
              <w:t>分；低</w:t>
            </w:r>
            <w:r>
              <w:rPr>
                <w:rFonts w:hint="eastAsia" w:ascii="仿宋" w:hAnsi="仿宋" w:eastAsia="仿宋" w:cs="仿宋"/>
                <w:b w:val="0"/>
                <w:bCs w:val="0"/>
                <w:color w:val="auto"/>
                <w:sz w:val="21"/>
                <w:szCs w:val="21"/>
                <w:u w:val="none"/>
                <w:lang w:eastAsia="zh-CN"/>
              </w:rPr>
              <w:t>于全</w:t>
            </w:r>
            <w:r>
              <w:rPr>
                <w:rFonts w:hint="eastAsia" w:ascii="仿宋" w:hAnsi="仿宋" w:eastAsia="仿宋" w:cs="仿宋"/>
                <w:b w:val="0"/>
                <w:bCs w:val="0"/>
                <w:color w:val="auto"/>
                <w:sz w:val="21"/>
                <w:szCs w:val="21"/>
                <w:u w:val="none"/>
              </w:rPr>
              <w:t>省平均但较上年提升2%及以上的</w:t>
            </w:r>
            <w:r>
              <w:rPr>
                <w:rFonts w:hint="eastAsia" w:ascii="仿宋" w:hAnsi="仿宋" w:eastAsia="仿宋" w:cs="仿宋"/>
                <w:b w:val="0"/>
                <w:bCs w:val="0"/>
                <w:color w:val="auto"/>
                <w:sz w:val="21"/>
                <w:szCs w:val="21"/>
                <w:u w:val="none"/>
                <w:lang w:eastAsia="zh-CN"/>
              </w:rPr>
              <w:t>，</w:t>
            </w:r>
            <w:r>
              <w:rPr>
                <w:rFonts w:hint="eastAsia" w:ascii="仿宋" w:hAnsi="仿宋" w:eastAsia="仿宋" w:cs="仿宋"/>
                <w:b w:val="0"/>
                <w:bCs w:val="0"/>
                <w:color w:val="auto"/>
                <w:sz w:val="21"/>
                <w:szCs w:val="21"/>
                <w:u w:val="none"/>
              </w:rPr>
              <w:t>得</w:t>
            </w:r>
            <w:r>
              <w:rPr>
                <w:rFonts w:hint="eastAsia" w:ascii="仿宋" w:hAnsi="仿宋" w:eastAsia="仿宋" w:cs="仿宋"/>
                <w:b w:val="0"/>
                <w:bCs w:val="0"/>
                <w:color w:val="auto"/>
                <w:sz w:val="21"/>
                <w:szCs w:val="21"/>
                <w:u w:val="none"/>
                <w:lang w:val="en-US" w:eastAsia="zh-CN"/>
              </w:rPr>
              <w:t>0.2</w:t>
            </w:r>
            <w:r>
              <w:rPr>
                <w:rFonts w:hint="eastAsia" w:ascii="仿宋" w:hAnsi="仿宋" w:eastAsia="仿宋" w:cs="仿宋"/>
                <w:b w:val="0"/>
                <w:bCs w:val="0"/>
                <w:color w:val="auto"/>
                <w:sz w:val="21"/>
                <w:szCs w:val="21"/>
                <w:u w:val="none"/>
              </w:rPr>
              <w:t>分</w:t>
            </w:r>
            <w:r>
              <w:rPr>
                <w:rFonts w:hint="eastAsia" w:ascii="仿宋" w:hAnsi="仿宋" w:eastAsia="仿宋" w:cs="仿宋"/>
                <w:b w:val="0"/>
                <w:bCs w:val="0"/>
                <w:color w:val="auto"/>
                <w:sz w:val="21"/>
                <w:szCs w:val="21"/>
                <w:u w:val="none"/>
                <w:lang w:val="en-US" w:eastAsia="zh-CN"/>
              </w:rPr>
              <w:t>。</w:t>
            </w:r>
          </w:p>
          <w:p w14:paraId="66E0E6A6">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4.</w:t>
            </w:r>
            <w:r>
              <w:rPr>
                <w:rFonts w:hint="eastAsia" w:ascii="仿宋" w:hAnsi="仿宋" w:eastAsia="仿宋" w:cs="仿宋"/>
                <w:b w:val="0"/>
                <w:bCs w:val="0"/>
                <w:color w:val="auto"/>
                <w:sz w:val="21"/>
                <w:szCs w:val="21"/>
                <w:highlight w:val="none"/>
                <w:u w:val="none"/>
              </w:rPr>
              <w:t>用人单位满意度（毕业生职业发展及人才培养质量调查）：高于全省高职平均且排名第1-3名的分别得</w:t>
            </w:r>
            <w:r>
              <w:rPr>
                <w:rFonts w:hint="eastAsia" w:ascii="仿宋" w:hAnsi="仿宋" w:eastAsia="仿宋" w:cs="仿宋"/>
                <w:b w:val="0"/>
                <w:bCs w:val="0"/>
                <w:color w:val="auto"/>
                <w:sz w:val="21"/>
                <w:szCs w:val="21"/>
                <w:highlight w:val="none"/>
                <w:u w:val="none"/>
                <w:lang w:val="en-US" w:eastAsia="zh-CN"/>
              </w:rPr>
              <w:t>0.5</w:t>
            </w:r>
            <w:r>
              <w:rPr>
                <w:rFonts w:hint="eastAsia" w:ascii="仿宋" w:hAnsi="仿宋" w:eastAsia="仿宋" w:cs="仿宋"/>
                <w:b w:val="0"/>
                <w:bCs w:val="0"/>
                <w:color w:val="auto"/>
                <w:sz w:val="21"/>
                <w:szCs w:val="21"/>
                <w:highlight w:val="none"/>
                <w:u w:val="none"/>
              </w:rPr>
              <w:t>分、</w:t>
            </w:r>
            <w:r>
              <w:rPr>
                <w:rFonts w:hint="eastAsia" w:ascii="仿宋" w:hAnsi="仿宋" w:eastAsia="仿宋" w:cs="仿宋"/>
                <w:b w:val="0"/>
                <w:bCs w:val="0"/>
                <w:color w:val="auto"/>
                <w:sz w:val="21"/>
                <w:szCs w:val="21"/>
                <w:highlight w:val="none"/>
                <w:u w:val="none"/>
                <w:lang w:val="en-US" w:eastAsia="zh-CN"/>
              </w:rPr>
              <w:t>0.4</w:t>
            </w:r>
            <w:r>
              <w:rPr>
                <w:rFonts w:hint="eastAsia" w:ascii="仿宋" w:hAnsi="仿宋" w:eastAsia="仿宋" w:cs="仿宋"/>
                <w:b w:val="0"/>
                <w:bCs w:val="0"/>
                <w:color w:val="auto"/>
                <w:sz w:val="21"/>
                <w:szCs w:val="21"/>
                <w:highlight w:val="none"/>
                <w:u w:val="none"/>
              </w:rPr>
              <w:t>分、</w:t>
            </w:r>
            <w:r>
              <w:rPr>
                <w:rFonts w:hint="eastAsia" w:ascii="仿宋" w:hAnsi="仿宋" w:eastAsia="仿宋" w:cs="仿宋"/>
                <w:b w:val="0"/>
                <w:bCs w:val="0"/>
                <w:color w:val="auto"/>
                <w:sz w:val="21"/>
                <w:szCs w:val="21"/>
                <w:highlight w:val="none"/>
                <w:u w:val="none"/>
                <w:lang w:val="en-US" w:eastAsia="zh-CN"/>
              </w:rPr>
              <w:t>0.3</w:t>
            </w:r>
            <w:r>
              <w:rPr>
                <w:rFonts w:hint="eastAsia" w:ascii="仿宋" w:hAnsi="仿宋" w:eastAsia="仿宋" w:cs="仿宋"/>
                <w:b w:val="0"/>
                <w:bCs w:val="0"/>
                <w:color w:val="auto"/>
                <w:sz w:val="21"/>
                <w:szCs w:val="21"/>
                <w:highlight w:val="none"/>
                <w:u w:val="none"/>
              </w:rPr>
              <w:t>分，其余得</w:t>
            </w:r>
            <w:r>
              <w:rPr>
                <w:rFonts w:hint="eastAsia" w:ascii="仿宋" w:hAnsi="仿宋" w:eastAsia="仿宋" w:cs="仿宋"/>
                <w:b w:val="0"/>
                <w:bCs w:val="0"/>
                <w:color w:val="auto"/>
                <w:sz w:val="21"/>
                <w:szCs w:val="21"/>
                <w:highlight w:val="none"/>
                <w:u w:val="none"/>
                <w:lang w:val="en-US" w:eastAsia="zh-CN"/>
              </w:rPr>
              <w:t>0.2</w:t>
            </w:r>
            <w:r>
              <w:rPr>
                <w:rFonts w:hint="eastAsia" w:ascii="仿宋" w:hAnsi="仿宋" w:eastAsia="仿宋" w:cs="仿宋"/>
                <w:b w:val="0"/>
                <w:bCs w:val="0"/>
                <w:color w:val="auto"/>
                <w:sz w:val="21"/>
                <w:szCs w:val="21"/>
                <w:highlight w:val="none"/>
                <w:u w:val="none"/>
              </w:rPr>
              <w:t>分；低于省平均但较上年提升2%及以上的</w:t>
            </w:r>
            <w:r>
              <w:rPr>
                <w:rFonts w:hint="eastAsia" w:ascii="仿宋" w:hAnsi="仿宋" w:eastAsia="仿宋" w:cs="仿宋"/>
                <w:b w:val="0"/>
                <w:bCs w:val="0"/>
                <w:color w:val="auto"/>
                <w:sz w:val="21"/>
                <w:szCs w:val="21"/>
                <w:highlight w:val="none"/>
                <w:u w:val="none"/>
                <w:lang w:eastAsia="zh-CN"/>
              </w:rPr>
              <w:t>，</w:t>
            </w:r>
            <w:r>
              <w:rPr>
                <w:rFonts w:hint="eastAsia" w:ascii="仿宋" w:hAnsi="仿宋" w:eastAsia="仿宋" w:cs="仿宋"/>
                <w:b w:val="0"/>
                <w:bCs w:val="0"/>
                <w:color w:val="auto"/>
                <w:sz w:val="21"/>
                <w:szCs w:val="21"/>
                <w:highlight w:val="none"/>
                <w:u w:val="none"/>
              </w:rPr>
              <w:t>得</w:t>
            </w:r>
            <w:r>
              <w:rPr>
                <w:rFonts w:hint="eastAsia" w:ascii="仿宋" w:hAnsi="仿宋" w:eastAsia="仿宋" w:cs="仿宋"/>
                <w:b w:val="0"/>
                <w:bCs w:val="0"/>
                <w:color w:val="auto"/>
                <w:sz w:val="21"/>
                <w:szCs w:val="21"/>
                <w:highlight w:val="none"/>
                <w:u w:val="none"/>
                <w:lang w:val="en-US" w:eastAsia="zh-CN"/>
              </w:rPr>
              <w:t>0.1</w:t>
            </w:r>
            <w:r>
              <w:rPr>
                <w:rFonts w:hint="eastAsia" w:ascii="仿宋" w:hAnsi="仿宋" w:eastAsia="仿宋" w:cs="仿宋"/>
                <w:b w:val="0"/>
                <w:bCs w:val="0"/>
                <w:color w:val="auto"/>
                <w:sz w:val="21"/>
                <w:szCs w:val="21"/>
                <w:highlight w:val="none"/>
                <w:u w:val="none"/>
              </w:rPr>
              <w:t>分</w:t>
            </w:r>
            <w:r>
              <w:rPr>
                <w:rFonts w:hint="eastAsia" w:ascii="仿宋" w:hAnsi="仿宋" w:eastAsia="仿宋" w:cs="仿宋"/>
                <w:b w:val="0"/>
                <w:bCs w:val="0"/>
                <w:color w:val="auto"/>
                <w:sz w:val="21"/>
                <w:szCs w:val="21"/>
                <w:u w:val="none"/>
                <w:lang w:val="en-US" w:eastAsia="zh-CN"/>
              </w:rPr>
              <w:t>。</w:t>
            </w:r>
          </w:p>
        </w:tc>
        <w:tc>
          <w:tcPr>
            <w:tcW w:w="457" w:type="pct"/>
            <w:vMerge w:val="continue"/>
            <w:tcBorders>
              <w:left w:val="single" w:color="auto" w:sz="2" w:space="0"/>
              <w:bottom w:val="single" w:color="auto" w:sz="2" w:space="0"/>
              <w:right w:val="single" w:color="auto" w:sz="2" w:space="0"/>
            </w:tcBorders>
            <w:vAlign w:val="center"/>
          </w:tcPr>
          <w:p w14:paraId="6E22A835">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p>
        </w:tc>
      </w:tr>
      <w:tr w14:paraId="7B277DEE">
        <w:trPr>
          <w:trHeight w:val="564" w:hRule="atLeast"/>
        </w:trPr>
        <w:tc>
          <w:tcPr>
            <w:tcW w:w="432" w:type="pct"/>
            <w:vMerge w:val="continue"/>
            <w:tcBorders>
              <w:top w:val="single" w:color="auto" w:sz="2" w:space="0"/>
              <w:left w:val="single" w:color="auto" w:sz="2" w:space="0"/>
              <w:bottom w:val="single" w:color="auto" w:sz="2" w:space="0"/>
              <w:right w:val="single" w:color="auto" w:sz="2" w:space="0"/>
            </w:tcBorders>
          </w:tcPr>
          <w:p w14:paraId="60E17129">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tcBorders>
              <w:top w:val="single" w:color="auto" w:sz="2" w:space="0"/>
              <w:left w:val="single" w:color="auto" w:sz="2" w:space="0"/>
              <w:bottom w:val="single" w:color="auto" w:sz="2" w:space="0"/>
              <w:right w:val="single" w:color="auto" w:sz="2" w:space="0"/>
            </w:tcBorders>
            <w:shd w:val="clear" w:color="auto" w:fill="auto"/>
            <w:vAlign w:val="center"/>
          </w:tcPr>
          <w:p w14:paraId="356933CC">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u w:val="none"/>
                <w:lang w:val="en-US" w:eastAsia="zh-CN"/>
              </w:rPr>
              <w:t>创业率</w:t>
            </w:r>
          </w:p>
          <w:p w14:paraId="71BC8929">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（0.5分）</w:t>
            </w:r>
          </w:p>
        </w:tc>
        <w:tc>
          <w:tcPr>
            <w:tcW w:w="3566" w:type="pct"/>
            <w:tcBorders>
              <w:top w:val="single" w:color="auto" w:sz="2" w:space="0"/>
              <w:left w:val="single" w:color="auto" w:sz="2" w:space="0"/>
              <w:bottom w:val="single" w:color="auto" w:sz="2" w:space="0"/>
              <w:right w:val="single" w:color="auto" w:sz="2" w:space="0"/>
            </w:tcBorders>
            <w:shd w:val="clear" w:color="auto" w:fill="auto"/>
            <w:vAlign w:val="center"/>
          </w:tcPr>
          <w:p w14:paraId="395CF7B1">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lang w:val="en-US" w:eastAsia="zh-CN"/>
              </w:rPr>
              <w:t>（毕业生职业发展及人才培养质量调查）：高于全省高职平均值20%（或高于省内同类平均的专业数占比≥50%），得0.5分；达到平均值（或高于省内同类平均的专业数占比≥40%），得0.3分；低于省平均但较上年提升20%及以上的，得0.1分。</w:t>
            </w:r>
          </w:p>
        </w:tc>
        <w:tc>
          <w:tcPr>
            <w:tcW w:w="457" w:type="pct"/>
            <w:tcBorders>
              <w:top w:val="single" w:color="auto" w:sz="2" w:space="0"/>
              <w:left w:val="single" w:color="auto" w:sz="2" w:space="0"/>
              <w:bottom w:val="single" w:color="auto" w:sz="2" w:space="0"/>
              <w:right w:val="single" w:color="auto" w:sz="2" w:space="0"/>
            </w:tcBorders>
            <w:shd w:val="clear" w:color="auto" w:fill="auto"/>
            <w:vAlign w:val="center"/>
          </w:tcPr>
          <w:p w14:paraId="37762A09">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rPr>
              <w:t>创业学院</w:t>
            </w:r>
          </w:p>
        </w:tc>
      </w:tr>
      <w:tr w14:paraId="12CAA769">
        <w:trPr>
          <w:trHeight w:val="90" w:hRule="atLeast"/>
        </w:trPr>
        <w:tc>
          <w:tcPr>
            <w:tcW w:w="432" w:type="pct"/>
            <w:vMerge w:val="continue"/>
            <w:tcBorders>
              <w:top w:val="single" w:color="auto" w:sz="2" w:space="0"/>
              <w:left w:val="single" w:color="auto" w:sz="2" w:space="0"/>
              <w:bottom w:val="single" w:color="auto" w:sz="2" w:space="0"/>
              <w:right w:val="single" w:color="auto" w:sz="2" w:space="0"/>
            </w:tcBorders>
          </w:tcPr>
          <w:p w14:paraId="20064186">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4567" w:type="pct"/>
            <w:gridSpan w:val="3"/>
            <w:tcBorders>
              <w:top w:val="single" w:color="auto" w:sz="2" w:space="0"/>
              <w:left w:val="single" w:color="auto" w:sz="2" w:space="0"/>
              <w:bottom w:val="single" w:color="auto" w:sz="2" w:space="0"/>
              <w:right w:val="single" w:color="auto" w:sz="2" w:space="0"/>
            </w:tcBorders>
            <w:vAlign w:val="center"/>
          </w:tcPr>
          <w:p w14:paraId="29B72882">
            <w:pPr>
              <w:keepNext w:val="0"/>
              <w:keepLines w:val="0"/>
              <w:pageBreakBefore w:val="0"/>
              <w:widowControl w:val="0"/>
              <w:kinsoku/>
              <w:wordWrap/>
              <w:overflowPunct/>
              <w:topLinePunct w:val="0"/>
              <w:autoSpaceDN/>
              <w:bidi w:val="0"/>
              <w:adjustRightInd/>
              <w:snapToGrid/>
              <w:spacing w:line="30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发展性指标</w:t>
            </w:r>
          </w:p>
        </w:tc>
      </w:tr>
      <w:tr w14:paraId="494F5311">
        <w:trPr>
          <w:trHeight w:val="90" w:hRule="atLeast"/>
        </w:trPr>
        <w:tc>
          <w:tcPr>
            <w:tcW w:w="432" w:type="pct"/>
            <w:vMerge w:val="continue"/>
            <w:tcBorders>
              <w:top w:val="single" w:color="auto" w:sz="2" w:space="0"/>
              <w:left w:val="single" w:color="auto" w:sz="2" w:space="0"/>
              <w:bottom w:val="single" w:color="auto" w:sz="2" w:space="0"/>
              <w:right w:val="single" w:color="auto" w:sz="2" w:space="0"/>
            </w:tcBorders>
          </w:tcPr>
          <w:p w14:paraId="3F3D0E59">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tcBorders>
              <w:top w:val="single" w:color="auto" w:sz="2" w:space="0"/>
              <w:left w:val="single" w:color="auto" w:sz="2" w:space="0"/>
              <w:bottom w:val="single" w:color="auto" w:sz="2" w:space="0"/>
              <w:right w:val="single" w:color="auto" w:sz="2" w:space="0"/>
            </w:tcBorders>
            <w:shd w:val="clear" w:color="auto" w:fill="auto"/>
            <w:vAlign w:val="center"/>
          </w:tcPr>
          <w:p w14:paraId="151FD875">
            <w:pPr>
              <w:keepNext w:val="0"/>
              <w:keepLines w:val="0"/>
              <w:pageBreakBefore w:val="0"/>
              <w:widowControl w:val="0"/>
              <w:kinsoku/>
              <w:wordWrap/>
              <w:overflowPunct/>
              <w:topLinePunct w:val="0"/>
              <w:autoSpaceDN/>
              <w:bidi w:val="0"/>
              <w:adjustRightInd/>
              <w:snapToGrid/>
              <w:spacing w:line="24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学生技能比赛</w:t>
            </w:r>
          </w:p>
          <w:p w14:paraId="4AF78266">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（4分）</w:t>
            </w:r>
          </w:p>
        </w:tc>
        <w:tc>
          <w:tcPr>
            <w:tcW w:w="3566" w:type="pct"/>
            <w:tcBorders>
              <w:top w:val="single" w:color="auto" w:sz="2" w:space="0"/>
              <w:left w:val="single" w:color="auto" w:sz="2" w:space="0"/>
              <w:bottom w:val="single" w:color="auto" w:sz="2" w:space="0"/>
              <w:right w:val="single" w:color="auto" w:sz="2" w:space="0"/>
            </w:tcBorders>
            <w:shd w:val="clear" w:color="auto" w:fill="auto"/>
            <w:vAlign w:val="center"/>
          </w:tcPr>
          <w:p w14:paraId="5AF92229">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依据A类学生技能竞赛获奖情况，按格次赋分法赋分。</w:t>
            </w:r>
          </w:p>
        </w:tc>
        <w:tc>
          <w:tcPr>
            <w:tcW w:w="457" w:type="pct"/>
            <w:tcBorders>
              <w:top w:val="single" w:color="auto" w:sz="2" w:space="0"/>
              <w:left w:val="single" w:color="auto" w:sz="2" w:space="0"/>
              <w:bottom w:val="single" w:color="auto" w:sz="2" w:space="0"/>
              <w:right w:val="single" w:color="auto" w:sz="2" w:space="0"/>
            </w:tcBorders>
            <w:shd w:val="clear" w:color="auto" w:fill="auto"/>
            <w:vAlign w:val="center"/>
          </w:tcPr>
          <w:p w14:paraId="68BA7C82">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rPr>
              <w:t>教务处（课程中心）</w:t>
            </w:r>
          </w:p>
        </w:tc>
      </w:tr>
      <w:tr w14:paraId="294325AC">
        <w:trPr>
          <w:trHeight w:val="446" w:hRule="atLeast"/>
        </w:trPr>
        <w:tc>
          <w:tcPr>
            <w:tcW w:w="432" w:type="pct"/>
            <w:vMerge w:val="continue"/>
            <w:tcBorders>
              <w:top w:val="single" w:color="auto" w:sz="2" w:space="0"/>
              <w:left w:val="single" w:color="auto" w:sz="2" w:space="0"/>
              <w:bottom w:val="single" w:color="auto" w:sz="2" w:space="0"/>
              <w:right w:val="single" w:color="auto" w:sz="2" w:space="0"/>
            </w:tcBorders>
          </w:tcPr>
          <w:p w14:paraId="549F6DE4">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tcBorders>
              <w:top w:val="single" w:color="auto" w:sz="2" w:space="0"/>
              <w:left w:val="single" w:color="auto" w:sz="2" w:space="0"/>
              <w:bottom w:val="single" w:color="auto" w:sz="2" w:space="0"/>
              <w:right w:val="single" w:color="auto" w:sz="2" w:space="0"/>
            </w:tcBorders>
            <w:shd w:val="clear" w:color="auto" w:fill="auto"/>
            <w:vAlign w:val="center"/>
          </w:tcPr>
          <w:p w14:paraId="6EA90705">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创新创业大赛获奖情况</w:t>
            </w:r>
          </w:p>
          <w:p w14:paraId="74998162">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（1.5分）</w:t>
            </w:r>
          </w:p>
        </w:tc>
        <w:tc>
          <w:tcPr>
            <w:tcW w:w="3566" w:type="pct"/>
            <w:tcBorders>
              <w:top w:val="single" w:color="auto" w:sz="2" w:space="0"/>
              <w:left w:val="single" w:color="auto" w:sz="2" w:space="0"/>
              <w:bottom w:val="single" w:color="auto" w:sz="2" w:space="0"/>
              <w:right w:val="single" w:color="auto" w:sz="2" w:space="0"/>
            </w:tcBorders>
            <w:shd w:val="clear" w:color="auto" w:fill="auto"/>
            <w:vAlign w:val="center"/>
          </w:tcPr>
          <w:p w14:paraId="2FCFDE6B">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依据职规、创新、乡村振兴、挑战杯等创新创业比赛获奖情况，按格次赋分法赋分。</w:t>
            </w:r>
          </w:p>
        </w:tc>
        <w:tc>
          <w:tcPr>
            <w:tcW w:w="457" w:type="pct"/>
            <w:tcBorders>
              <w:top w:val="single" w:color="auto" w:sz="2" w:space="0"/>
              <w:left w:val="single" w:color="auto" w:sz="2" w:space="0"/>
              <w:bottom w:val="single" w:color="auto" w:sz="2" w:space="0"/>
              <w:right w:val="single" w:color="auto" w:sz="2" w:space="0"/>
            </w:tcBorders>
            <w:shd w:val="clear" w:color="auto" w:fill="auto"/>
            <w:vAlign w:val="center"/>
          </w:tcPr>
          <w:p w14:paraId="66A6220D">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rPr>
              <w:t>创业学院/团委</w:t>
            </w:r>
          </w:p>
        </w:tc>
      </w:tr>
      <w:tr w14:paraId="246B94D7">
        <w:trPr>
          <w:trHeight w:val="166" w:hRule="atLeast"/>
        </w:trPr>
        <w:tc>
          <w:tcPr>
            <w:tcW w:w="432" w:type="pct"/>
            <w:vMerge w:val="restart"/>
            <w:tcBorders>
              <w:top w:val="single" w:color="auto" w:sz="2" w:space="0"/>
            </w:tcBorders>
            <w:vAlign w:val="center"/>
          </w:tcPr>
          <w:p w14:paraId="68301B0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4.社会人员培训及服务终身学习</w:t>
            </w:r>
          </w:p>
          <w:p w14:paraId="42EDA67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b w:val="0"/>
                <w:bCs w:val="0"/>
                <w:color w:val="auto"/>
                <w:sz w:val="21"/>
                <w:szCs w:val="21"/>
                <w:u w:val="none"/>
                <w:lang w:eastAsia="zh-CN"/>
              </w:rPr>
            </w:pPr>
            <w:r>
              <w:rPr>
                <w:rFonts w:hint="eastAsia" w:ascii="仿宋" w:hAnsi="仿宋" w:eastAsia="仿宋" w:cs="仿宋"/>
                <w:b w:val="0"/>
                <w:bCs w:val="0"/>
                <w:color w:val="auto"/>
                <w:sz w:val="21"/>
                <w:szCs w:val="21"/>
                <w:u w:val="none"/>
                <w:lang w:val="en-US" w:eastAsia="zh-CN"/>
              </w:rPr>
              <w:t>（8分）</w:t>
            </w:r>
          </w:p>
        </w:tc>
        <w:tc>
          <w:tcPr>
            <w:tcW w:w="4567" w:type="pct"/>
            <w:gridSpan w:val="3"/>
            <w:tcBorders>
              <w:top w:val="single" w:color="auto" w:sz="2" w:space="0"/>
            </w:tcBorders>
            <w:vAlign w:val="center"/>
          </w:tcPr>
          <w:p w14:paraId="4F9BBB41">
            <w:pPr>
              <w:keepNext w:val="0"/>
              <w:keepLines w:val="0"/>
              <w:pageBreakBefore w:val="0"/>
              <w:widowControl w:val="0"/>
              <w:kinsoku/>
              <w:wordWrap/>
              <w:overflowPunct/>
              <w:topLinePunct w:val="0"/>
              <w:autoSpaceDN/>
              <w:bidi w:val="0"/>
              <w:adjustRightInd/>
              <w:snapToGrid/>
              <w:spacing w:line="30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基础性指标</w:t>
            </w:r>
          </w:p>
        </w:tc>
      </w:tr>
      <w:tr w14:paraId="07C02B26">
        <w:trPr>
          <w:trHeight w:val="595" w:hRule="atLeast"/>
        </w:trPr>
        <w:tc>
          <w:tcPr>
            <w:tcW w:w="432" w:type="pct"/>
            <w:vMerge w:val="continue"/>
            <w:vAlign w:val="center"/>
          </w:tcPr>
          <w:p w14:paraId="2FE7CEC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b w:val="0"/>
                <w:bCs w:val="0"/>
                <w:color w:val="auto"/>
                <w:sz w:val="21"/>
                <w:szCs w:val="21"/>
                <w:u w:val="none"/>
                <w:lang w:val="en-US" w:eastAsia="zh-CN"/>
              </w:rPr>
            </w:pPr>
          </w:p>
        </w:tc>
        <w:tc>
          <w:tcPr>
            <w:tcW w:w="543" w:type="pct"/>
            <w:tcBorders>
              <w:top w:val="single" w:color="auto" w:sz="2" w:space="0"/>
            </w:tcBorders>
            <w:shd w:val="clear" w:color="auto" w:fill="auto"/>
            <w:vAlign w:val="center"/>
          </w:tcPr>
          <w:p w14:paraId="056BDAF0">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培训到款额</w:t>
            </w:r>
          </w:p>
          <w:p w14:paraId="5AEE6413">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（4分）</w:t>
            </w:r>
          </w:p>
        </w:tc>
        <w:tc>
          <w:tcPr>
            <w:tcW w:w="3566" w:type="pct"/>
            <w:tcBorders>
              <w:top w:val="single" w:color="auto" w:sz="2" w:space="0"/>
            </w:tcBorders>
            <w:shd w:val="clear" w:color="auto" w:fill="auto"/>
            <w:vAlign w:val="top"/>
          </w:tcPr>
          <w:p w14:paraId="216141DD">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highlight w:val="none"/>
                <w:u w:val="none"/>
                <w:lang w:val="en-US" w:eastAsia="zh-CN"/>
              </w:rPr>
              <w:t>当年度社会培训到款额①较上一年有增长，且达到全校平均值及以上得4分、达到平均值的80%及以上得3分、达到平均值的60%及以上得2分、其他得1分。或②完成继续教育学院下达指标的得2分，超过指标10%的得3分 ，超过指标20%的得4分。</w:t>
            </w:r>
          </w:p>
        </w:tc>
        <w:tc>
          <w:tcPr>
            <w:tcW w:w="457" w:type="pct"/>
            <w:vMerge w:val="restart"/>
            <w:tcBorders>
              <w:top w:val="single" w:color="auto" w:sz="2" w:space="0"/>
            </w:tcBorders>
            <w:shd w:val="clear" w:color="auto" w:fill="auto"/>
            <w:vAlign w:val="center"/>
          </w:tcPr>
          <w:p w14:paraId="44516C64">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科研处（地方服务合作处）</w:t>
            </w:r>
          </w:p>
        </w:tc>
      </w:tr>
      <w:tr w14:paraId="34D6A659">
        <w:trPr>
          <w:trHeight w:val="332" w:hRule="atLeast"/>
        </w:trPr>
        <w:tc>
          <w:tcPr>
            <w:tcW w:w="432" w:type="pct"/>
            <w:vMerge w:val="continue"/>
            <w:vAlign w:val="center"/>
          </w:tcPr>
          <w:p w14:paraId="3FC717F2">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12B015B7">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培训工作</w:t>
            </w:r>
          </w:p>
          <w:p w14:paraId="19F550CE">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（2分）</w:t>
            </w:r>
          </w:p>
        </w:tc>
        <w:tc>
          <w:tcPr>
            <w:tcW w:w="3566" w:type="pct"/>
            <w:vAlign w:val="center"/>
          </w:tcPr>
          <w:p w14:paraId="3CAF7ABC">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eastAsia="zh-CN"/>
              </w:rPr>
              <w:t>完成年度职业教育培训工作任务目标数110%及以上得</w:t>
            </w:r>
            <w:r>
              <w:rPr>
                <w:rFonts w:hint="eastAsia" w:ascii="仿宋" w:hAnsi="仿宋" w:eastAsia="仿宋" w:cs="仿宋"/>
                <w:b w:val="0"/>
                <w:bCs w:val="0"/>
                <w:color w:val="auto"/>
                <w:sz w:val="21"/>
                <w:szCs w:val="21"/>
                <w:u w:val="none"/>
                <w:lang w:val="en-US" w:eastAsia="zh-CN"/>
              </w:rPr>
              <w:t>2</w:t>
            </w:r>
            <w:r>
              <w:rPr>
                <w:rFonts w:hint="eastAsia" w:ascii="仿宋" w:hAnsi="仿宋" w:eastAsia="仿宋" w:cs="仿宋"/>
                <w:b w:val="0"/>
                <w:bCs w:val="0"/>
                <w:color w:val="auto"/>
                <w:sz w:val="21"/>
                <w:szCs w:val="21"/>
                <w:u w:val="none"/>
                <w:lang w:eastAsia="zh-CN"/>
              </w:rPr>
              <w:t>分；</w:t>
            </w:r>
            <w:r>
              <w:rPr>
                <w:rFonts w:hint="eastAsia" w:ascii="仿宋" w:hAnsi="仿宋" w:eastAsia="仿宋" w:cs="仿宋"/>
                <w:b w:val="0"/>
                <w:bCs w:val="0"/>
                <w:color w:val="auto"/>
                <w:sz w:val="21"/>
                <w:szCs w:val="21"/>
                <w:u w:val="none"/>
                <w:lang w:val="en-US" w:eastAsia="zh-CN"/>
              </w:rPr>
              <w:t>完成目标数</w:t>
            </w:r>
            <w:r>
              <w:rPr>
                <w:rFonts w:hint="eastAsia" w:ascii="仿宋" w:hAnsi="仿宋" w:eastAsia="仿宋" w:cs="仿宋"/>
                <w:b w:val="0"/>
                <w:bCs w:val="0"/>
                <w:color w:val="auto"/>
                <w:sz w:val="21"/>
                <w:szCs w:val="21"/>
                <w:u w:val="none"/>
                <w:lang w:eastAsia="zh-CN"/>
              </w:rPr>
              <w:t>105%～110%（</w:t>
            </w:r>
            <w:r>
              <w:rPr>
                <w:rFonts w:hint="eastAsia" w:ascii="仿宋" w:hAnsi="仿宋" w:eastAsia="仿宋" w:cs="仿宋"/>
                <w:b w:val="0"/>
                <w:bCs w:val="0"/>
                <w:color w:val="auto"/>
                <w:sz w:val="21"/>
                <w:szCs w:val="21"/>
                <w:u w:val="none"/>
                <w:lang w:val="en-US" w:eastAsia="zh-CN"/>
              </w:rPr>
              <w:t>含105%</w:t>
            </w:r>
            <w:r>
              <w:rPr>
                <w:rFonts w:hint="eastAsia" w:ascii="仿宋" w:hAnsi="仿宋" w:eastAsia="仿宋" w:cs="仿宋"/>
                <w:b w:val="0"/>
                <w:bCs w:val="0"/>
                <w:color w:val="auto"/>
                <w:sz w:val="21"/>
                <w:szCs w:val="21"/>
                <w:u w:val="none"/>
                <w:lang w:eastAsia="zh-CN"/>
              </w:rPr>
              <w:t>）得</w:t>
            </w:r>
            <w:r>
              <w:rPr>
                <w:rFonts w:hint="eastAsia" w:ascii="仿宋" w:hAnsi="仿宋" w:eastAsia="仿宋" w:cs="仿宋"/>
                <w:b w:val="0"/>
                <w:bCs w:val="0"/>
                <w:color w:val="auto"/>
                <w:sz w:val="21"/>
                <w:szCs w:val="21"/>
                <w:u w:val="none"/>
                <w:lang w:val="en-US" w:eastAsia="zh-CN"/>
              </w:rPr>
              <w:t>1.5</w:t>
            </w:r>
            <w:r>
              <w:rPr>
                <w:rFonts w:hint="eastAsia" w:ascii="仿宋" w:hAnsi="仿宋" w:eastAsia="仿宋" w:cs="仿宋"/>
                <w:b w:val="0"/>
                <w:bCs w:val="0"/>
                <w:color w:val="auto"/>
                <w:sz w:val="21"/>
                <w:szCs w:val="21"/>
                <w:u w:val="none"/>
                <w:lang w:eastAsia="zh-CN"/>
              </w:rPr>
              <w:t>分；完成目标数的得</w:t>
            </w:r>
            <w:r>
              <w:rPr>
                <w:rFonts w:hint="eastAsia" w:ascii="仿宋" w:hAnsi="仿宋" w:eastAsia="仿宋" w:cs="仿宋"/>
                <w:b w:val="0"/>
                <w:bCs w:val="0"/>
                <w:color w:val="auto"/>
                <w:sz w:val="21"/>
                <w:szCs w:val="21"/>
                <w:u w:val="none"/>
                <w:lang w:val="en-US" w:eastAsia="zh-CN"/>
              </w:rPr>
              <w:t>1</w:t>
            </w:r>
            <w:r>
              <w:rPr>
                <w:rFonts w:hint="eastAsia" w:ascii="仿宋" w:hAnsi="仿宋" w:eastAsia="仿宋" w:cs="仿宋"/>
                <w:b w:val="0"/>
                <w:bCs w:val="0"/>
                <w:color w:val="auto"/>
                <w:sz w:val="21"/>
                <w:szCs w:val="21"/>
                <w:u w:val="none"/>
                <w:lang w:eastAsia="zh-CN"/>
              </w:rPr>
              <w:t>分；未完成任务目标不得分。</w:t>
            </w:r>
          </w:p>
        </w:tc>
        <w:tc>
          <w:tcPr>
            <w:tcW w:w="457" w:type="pct"/>
            <w:vMerge w:val="continue"/>
            <w:vAlign w:val="center"/>
          </w:tcPr>
          <w:p w14:paraId="0DCE5B56">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p>
        </w:tc>
      </w:tr>
      <w:tr w14:paraId="63D451D1">
        <w:trPr>
          <w:trHeight w:val="90" w:hRule="atLeast"/>
        </w:trPr>
        <w:tc>
          <w:tcPr>
            <w:tcW w:w="432" w:type="pct"/>
            <w:vMerge w:val="continue"/>
            <w:vAlign w:val="center"/>
          </w:tcPr>
          <w:p w14:paraId="3FCD3573">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4567" w:type="pct"/>
            <w:gridSpan w:val="3"/>
            <w:vAlign w:val="center"/>
          </w:tcPr>
          <w:p w14:paraId="1FB75B92">
            <w:pPr>
              <w:keepNext w:val="0"/>
              <w:keepLines w:val="0"/>
              <w:pageBreakBefore w:val="0"/>
              <w:widowControl w:val="0"/>
              <w:kinsoku/>
              <w:wordWrap/>
              <w:overflowPunct/>
              <w:topLinePunct w:val="0"/>
              <w:autoSpaceDN/>
              <w:bidi w:val="0"/>
              <w:adjustRightInd/>
              <w:snapToGrid/>
              <w:spacing w:line="300" w:lineRule="exact"/>
              <w:jc w:val="center"/>
              <w:textAlignment w:val="auto"/>
              <w:rPr>
                <w:rFonts w:hint="eastAsia" w:ascii="仿宋" w:hAnsi="仿宋" w:eastAsia="仿宋" w:cs="仿宋"/>
                <w:b w:val="0"/>
                <w:bCs w:val="0"/>
                <w:color w:val="auto"/>
                <w:sz w:val="21"/>
                <w:szCs w:val="21"/>
                <w:u w:val="none"/>
              </w:rPr>
            </w:pPr>
            <w:r>
              <w:rPr>
                <w:rFonts w:hint="eastAsia" w:ascii="仿宋" w:hAnsi="仿宋" w:eastAsia="仿宋" w:cs="仿宋"/>
                <w:b/>
                <w:bCs/>
                <w:color w:val="auto"/>
                <w:sz w:val="21"/>
                <w:szCs w:val="21"/>
                <w:u w:val="none"/>
                <w:lang w:val="en-US" w:eastAsia="zh-CN"/>
              </w:rPr>
              <w:t>发展性指标</w:t>
            </w:r>
          </w:p>
        </w:tc>
      </w:tr>
      <w:tr w14:paraId="64936CF7">
        <w:trPr>
          <w:trHeight w:val="181" w:hRule="atLeast"/>
        </w:trPr>
        <w:tc>
          <w:tcPr>
            <w:tcW w:w="432" w:type="pct"/>
            <w:vMerge w:val="continue"/>
          </w:tcPr>
          <w:p w14:paraId="0AAACEBD">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402E79F3">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证书培训</w:t>
            </w:r>
          </w:p>
          <w:p w14:paraId="603AA175">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（1分）</w:t>
            </w:r>
          </w:p>
        </w:tc>
        <w:tc>
          <w:tcPr>
            <w:tcW w:w="3566" w:type="pct"/>
            <w:vAlign w:val="center"/>
          </w:tcPr>
          <w:p w14:paraId="027F3FB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开展培训且获证人数较目标值（上一年）有增加为1分；有开展培训为0.5分；其余不得分。</w:t>
            </w:r>
          </w:p>
        </w:tc>
        <w:tc>
          <w:tcPr>
            <w:tcW w:w="457" w:type="pct"/>
            <w:vMerge w:val="restart"/>
            <w:vAlign w:val="center"/>
          </w:tcPr>
          <w:p w14:paraId="03197657">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科研处（地方服务合作处）</w:t>
            </w:r>
          </w:p>
        </w:tc>
      </w:tr>
      <w:tr w14:paraId="09DBFF79">
        <w:trPr>
          <w:trHeight w:val="222" w:hRule="atLeast"/>
        </w:trPr>
        <w:tc>
          <w:tcPr>
            <w:tcW w:w="432" w:type="pct"/>
            <w:vMerge w:val="continue"/>
          </w:tcPr>
          <w:p w14:paraId="0BF83399">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shd w:val="clear" w:color="auto" w:fill="auto"/>
            <w:vAlign w:val="center"/>
          </w:tcPr>
          <w:p w14:paraId="7A25B9C3">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社区和老年教育</w:t>
            </w:r>
            <w:r>
              <w:rPr>
                <w:rFonts w:hint="eastAsia" w:ascii="仿宋" w:hAnsi="仿宋" w:eastAsia="仿宋" w:cs="仿宋"/>
                <w:b w:val="0"/>
                <w:bCs w:val="0"/>
                <w:color w:val="auto"/>
                <w:sz w:val="21"/>
                <w:szCs w:val="21"/>
                <w:highlight w:val="none"/>
                <w:u w:val="none"/>
                <w:lang w:val="en-US" w:eastAsia="zh-CN"/>
              </w:rPr>
              <w:t>（0.5分）</w:t>
            </w:r>
          </w:p>
        </w:tc>
        <w:tc>
          <w:tcPr>
            <w:tcW w:w="3566" w:type="pct"/>
            <w:shd w:val="clear" w:color="auto" w:fill="auto"/>
            <w:vAlign w:val="center"/>
          </w:tcPr>
          <w:p w14:paraId="2484FCA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开展社区教育（老年教育）服务或面向中小学生劳动和职业教育为0.5分；其余不得分。</w:t>
            </w:r>
          </w:p>
        </w:tc>
        <w:tc>
          <w:tcPr>
            <w:tcW w:w="457" w:type="pct"/>
            <w:vMerge w:val="continue"/>
            <w:shd w:val="clear" w:color="auto" w:fill="auto"/>
            <w:vAlign w:val="center"/>
          </w:tcPr>
          <w:p w14:paraId="2E143B21">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p>
        </w:tc>
      </w:tr>
      <w:tr w14:paraId="1296CECC">
        <w:trPr>
          <w:trHeight w:val="556" w:hRule="atLeast"/>
        </w:trPr>
        <w:tc>
          <w:tcPr>
            <w:tcW w:w="432" w:type="pct"/>
            <w:vMerge w:val="continue"/>
          </w:tcPr>
          <w:p w14:paraId="63478204">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shd w:val="clear" w:color="auto" w:fill="auto"/>
            <w:vAlign w:val="center"/>
          </w:tcPr>
          <w:p w14:paraId="2D74D54D">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职业培训</w:t>
            </w:r>
          </w:p>
          <w:p w14:paraId="44E91F44">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（0.5分）</w:t>
            </w:r>
          </w:p>
        </w:tc>
        <w:tc>
          <w:tcPr>
            <w:tcW w:w="3566" w:type="pct"/>
            <w:shd w:val="clear" w:color="auto" w:fill="auto"/>
            <w:vAlign w:val="center"/>
          </w:tcPr>
          <w:p w14:paraId="0819DC3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highlight w:val="none"/>
                <w:u w:val="none"/>
                <w:lang w:val="en-US" w:eastAsia="zh-CN"/>
              </w:rPr>
              <w:t>开展退役军人、下岗职工、新型农民培训或社会培训X证书获取人数达到100人及以上为0.5分，其余不得分。</w:t>
            </w:r>
          </w:p>
        </w:tc>
        <w:tc>
          <w:tcPr>
            <w:tcW w:w="457" w:type="pct"/>
            <w:shd w:val="clear" w:color="auto" w:fill="auto"/>
            <w:vAlign w:val="center"/>
          </w:tcPr>
          <w:p w14:paraId="3496A724">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lang w:val="en-US" w:eastAsia="zh-CN"/>
              </w:rPr>
              <w:t>培训与职业技能鉴定中心</w:t>
            </w:r>
          </w:p>
        </w:tc>
      </w:tr>
      <w:tr w14:paraId="06CB91C1">
        <w:trPr>
          <w:trHeight w:val="90" w:hRule="atLeast"/>
        </w:trPr>
        <w:tc>
          <w:tcPr>
            <w:tcW w:w="432" w:type="pct"/>
            <w:vMerge w:val="restart"/>
          </w:tcPr>
          <w:p w14:paraId="0F14D93B">
            <w:pPr>
              <w:keepNext w:val="0"/>
              <w:keepLines w:val="0"/>
              <w:pageBreakBefore w:val="0"/>
              <w:widowControl w:val="0"/>
              <w:kinsoku/>
              <w:wordWrap/>
              <w:overflowPunct/>
              <w:topLinePunct w:val="0"/>
              <w:autoSpaceDE/>
              <w:autoSpaceDN/>
              <w:bidi w:val="0"/>
              <w:adjustRightInd/>
              <w:snapToGrid/>
              <w:spacing w:line="440" w:lineRule="atLeast"/>
              <w:jc w:val="left"/>
              <w:textAlignment w:val="auto"/>
              <w:rPr>
                <w:rFonts w:hint="eastAsia" w:ascii="仿宋" w:hAnsi="仿宋" w:eastAsia="仿宋" w:cs="仿宋"/>
                <w:b w:val="0"/>
                <w:bCs w:val="0"/>
                <w:color w:val="auto"/>
                <w:sz w:val="21"/>
                <w:szCs w:val="21"/>
                <w:u w:val="none"/>
                <w:lang w:val="en-US" w:eastAsia="zh-CN"/>
              </w:rPr>
            </w:pPr>
          </w:p>
          <w:p w14:paraId="307D2714">
            <w:pPr>
              <w:keepNext w:val="0"/>
              <w:keepLines w:val="0"/>
              <w:pageBreakBefore w:val="0"/>
              <w:widowControl w:val="0"/>
              <w:kinsoku/>
              <w:wordWrap/>
              <w:overflowPunct/>
              <w:topLinePunct w:val="0"/>
              <w:autoSpaceDE/>
              <w:autoSpaceDN/>
              <w:bidi w:val="0"/>
              <w:adjustRightInd/>
              <w:snapToGrid/>
              <w:spacing w:line="440" w:lineRule="atLeast"/>
              <w:jc w:val="left"/>
              <w:textAlignment w:val="auto"/>
              <w:rPr>
                <w:rFonts w:hint="eastAsia" w:ascii="仿宋" w:hAnsi="仿宋" w:eastAsia="仿宋" w:cs="仿宋"/>
                <w:b w:val="0"/>
                <w:bCs w:val="0"/>
                <w:color w:val="auto"/>
                <w:sz w:val="21"/>
                <w:szCs w:val="21"/>
                <w:u w:val="none"/>
                <w:lang w:val="en-US" w:eastAsia="zh-CN"/>
              </w:rPr>
            </w:pPr>
          </w:p>
          <w:p w14:paraId="6A5CFBBC">
            <w:pPr>
              <w:keepNext w:val="0"/>
              <w:keepLines w:val="0"/>
              <w:pageBreakBefore w:val="0"/>
              <w:widowControl w:val="0"/>
              <w:kinsoku/>
              <w:wordWrap/>
              <w:overflowPunct/>
              <w:topLinePunct w:val="0"/>
              <w:autoSpaceDE/>
              <w:autoSpaceDN/>
              <w:bidi w:val="0"/>
              <w:adjustRightInd/>
              <w:snapToGrid/>
              <w:spacing w:line="440" w:lineRule="atLeast"/>
              <w:ind w:left="0" w:firstLine="0" w:firstLineChars="0"/>
              <w:jc w:val="center"/>
              <w:textAlignment w:val="auto"/>
              <w:rPr>
                <w:rFonts w:hint="eastAsia" w:ascii="仿宋" w:hAnsi="仿宋" w:eastAsia="仿宋" w:cs="仿宋"/>
                <w:b w:val="0"/>
                <w:bCs w:val="0"/>
                <w:color w:val="auto"/>
                <w:sz w:val="21"/>
                <w:szCs w:val="21"/>
                <w:u w:val="none"/>
                <w:lang w:val="en-US" w:eastAsia="zh-CN"/>
              </w:rPr>
            </w:pPr>
          </w:p>
          <w:p w14:paraId="2B97296F">
            <w:pPr>
              <w:keepNext w:val="0"/>
              <w:keepLines w:val="0"/>
              <w:pageBreakBefore w:val="0"/>
              <w:widowControl w:val="0"/>
              <w:kinsoku/>
              <w:wordWrap/>
              <w:overflowPunct/>
              <w:topLinePunct w:val="0"/>
              <w:autoSpaceDE/>
              <w:autoSpaceDN/>
              <w:bidi w:val="0"/>
              <w:adjustRightInd/>
              <w:snapToGrid/>
              <w:spacing w:line="440" w:lineRule="atLeast"/>
              <w:ind w:left="0" w:firstLine="0" w:firstLineChars="0"/>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5.技术研发服务</w:t>
            </w:r>
          </w:p>
          <w:p w14:paraId="712E4E6D">
            <w:pPr>
              <w:keepNext w:val="0"/>
              <w:keepLines w:val="0"/>
              <w:pageBreakBefore w:val="0"/>
              <w:widowControl w:val="0"/>
              <w:kinsoku/>
              <w:wordWrap/>
              <w:overflowPunct/>
              <w:topLinePunct w:val="0"/>
              <w:autoSpaceDE/>
              <w:autoSpaceDN/>
              <w:bidi w:val="0"/>
              <w:adjustRightInd/>
              <w:snapToGrid/>
              <w:spacing w:line="440" w:lineRule="atLeast"/>
              <w:jc w:val="center"/>
              <w:textAlignment w:val="auto"/>
              <w:rPr>
                <w:rFonts w:hint="eastAsia" w:ascii="仿宋" w:hAnsi="仿宋" w:eastAsia="仿宋" w:cs="仿宋"/>
                <w:b w:val="0"/>
                <w:bCs w:val="0"/>
                <w:color w:val="auto"/>
                <w:sz w:val="21"/>
                <w:szCs w:val="21"/>
                <w:u w:val="none"/>
                <w:lang w:eastAsia="zh-CN"/>
              </w:rPr>
            </w:pPr>
            <w:r>
              <w:rPr>
                <w:rFonts w:hint="eastAsia" w:ascii="仿宋" w:hAnsi="仿宋" w:eastAsia="仿宋" w:cs="仿宋"/>
                <w:b w:val="0"/>
                <w:bCs w:val="0"/>
                <w:color w:val="auto"/>
                <w:sz w:val="21"/>
                <w:szCs w:val="21"/>
                <w:u w:val="none"/>
                <w:lang w:val="en-US" w:eastAsia="zh-CN"/>
              </w:rPr>
              <w:t>（7分）</w:t>
            </w:r>
          </w:p>
        </w:tc>
        <w:tc>
          <w:tcPr>
            <w:tcW w:w="4567" w:type="pct"/>
            <w:gridSpan w:val="3"/>
            <w:vAlign w:val="center"/>
          </w:tcPr>
          <w:p w14:paraId="11294410">
            <w:pPr>
              <w:keepNext w:val="0"/>
              <w:keepLines w:val="0"/>
              <w:pageBreakBefore w:val="0"/>
              <w:widowControl w:val="0"/>
              <w:kinsoku/>
              <w:wordWrap/>
              <w:overflowPunct/>
              <w:topLinePunct w:val="0"/>
              <w:autoSpaceDN/>
              <w:bidi w:val="0"/>
              <w:adjustRightInd/>
              <w:snapToGrid/>
              <w:spacing w:line="30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基础性指标</w:t>
            </w:r>
          </w:p>
        </w:tc>
      </w:tr>
      <w:tr w14:paraId="2D8823AA">
        <w:trPr>
          <w:trHeight w:val="90" w:hRule="atLeast"/>
        </w:trPr>
        <w:tc>
          <w:tcPr>
            <w:tcW w:w="432" w:type="pct"/>
            <w:vMerge w:val="continue"/>
          </w:tcPr>
          <w:p w14:paraId="7E7F3175">
            <w:pPr>
              <w:keepNext w:val="0"/>
              <w:keepLines w:val="0"/>
              <w:pageBreakBefore w:val="0"/>
              <w:widowControl w:val="0"/>
              <w:kinsoku/>
              <w:wordWrap/>
              <w:overflowPunct/>
              <w:topLinePunct w:val="0"/>
              <w:autoSpaceDE/>
              <w:autoSpaceDN/>
              <w:bidi w:val="0"/>
              <w:adjustRightInd/>
              <w:snapToGrid/>
              <w:spacing w:line="440" w:lineRule="atLeast"/>
              <w:jc w:val="center"/>
              <w:textAlignment w:val="auto"/>
              <w:rPr>
                <w:rFonts w:hint="eastAsia" w:ascii="仿宋" w:hAnsi="仿宋" w:eastAsia="仿宋" w:cs="仿宋"/>
                <w:b w:val="0"/>
                <w:bCs w:val="0"/>
                <w:color w:val="auto"/>
                <w:sz w:val="21"/>
                <w:szCs w:val="21"/>
                <w:u w:val="none"/>
                <w:lang w:val="en-US" w:eastAsia="zh-CN"/>
              </w:rPr>
            </w:pPr>
          </w:p>
        </w:tc>
        <w:tc>
          <w:tcPr>
            <w:tcW w:w="543" w:type="pct"/>
            <w:shd w:val="clear" w:color="auto" w:fill="auto"/>
            <w:vAlign w:val="center"/>
          </w:tcPr>
          <w:p w14:paraId="01F28E19">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科研到账经费</w:t>
            </w:r>
          </w:p>
          <w:p w14:paraId="7B060C85">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（4分）</w:t>
            </w:r>
          </w:p>
        </w:tc>
        <w:tc>
          <w:tcPr>
            <w:tcW w:w="3566" w:type="pct"/>
            <w:shd w:val="clear" w:color="auto" w:fill="auto"/>
            <w:vAlign w:val="top"/>
          </w:tcPr>
          <w:p w14:paraId="58B06870">
            <w:pPr>
              <w:keepNext w:val="0"/>
              <w:keepLines w:val="0"/>
              <w:pageBreakBefore w:val="0"/>
              <w:widowControl w:val="0"/>
              <w:tabs>
                <w:tab w:val="left" w:pos="7088"/>
              </w:tabs>
              <w:kinsoku/>
              <w:wordWrap/>
              <w:overflowPunct/>
              <w:topLinePunct w:val="0"/>
              <w:autoSpaceDN/>
              <w:bidi w:val="0"/>
              <w:adjustRightInd/>
              <w:snapToGrid/>
              <w:spacing w:line="28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1.</w:t>
            </w:r>
            <w:r>
              <w:rPr>
                <w:rFonts w:hint="eastAsia" w:ascii="仿宋" w:hAnsi="仿宋" w:eastAsia="仿宋" w:cs="仿宋"/>
                <w:b w:val="0"/>
                <w:bCs w:val="0"/>
                <w:color w:val="auto"/>
                <w:sz w:val="21"/>
                <w:szCs w:val="21"/>
                <w:highlight w:val="none"/>
                <w:u w:val="none"/>
                <w:lang w:val="en-US" w:eastAsia="zh-CN"/>
              </w:rPr>
              <w:t>纵横向项目到款总额；当年人均到款总额较上一年增长10%及以上得2分；增长5%及以上得1.5分；增长3%及以上得1分；有增长得0.5分；其余不得分。</w:t>
            </w:r>
            <w:r>
              <w:rPr>
                <w:rFonts w:hint="eastAsia" w:ascii="仿宋" w:hAnsi="仿宋" w:eastAsia="仿宋" w:cs="仿宋"/>
                <w:b w:val="0"/>
                <w:bCs w:val="0"/>
                <w:color w:val="auto"/>
                <w:sz w:val="21"/>
                <w:szCs w:val="21"/>
                <w:highlight w:val="none"/>
                <w:u w:val="none"/>
                <w:lang w:val="en-US" w:eastAsia="zh-CN"/>
              </w:rPr>
              <w:br w:type="textWrapping"/>
            </w:r>
            <w:r>
              <w:rPr>
                <w:rFonts w:hint="eastAsia" w:ascii="仿宋" w:hAnsi="仿宋" w:eastAsia="仿宋" w:cs="仿宋"/>
                <w:b/>
                <w:bCs/>
                <w:color w:val="auto"/>
                <w:sz w:val="21"/>
                <w:szCs w:val="21"/>
                <w:highlight w:val="none"/>
                <w:u w:val="none"/>
                <w:lang w:val="en-US" w:eastAsia="zh-CN"/>
              </w:rPr>
              <w:t>2.</w:t>
            </w:r>
            <w:r>
              <w:rPr>
                <w:rFonts w:hint="eastAsia" w:ascii="仿宋" w:hAnsi="仿宋" w:eastAsia="仿宋" w:cs="仿宋"/>
                <w:b w:val="0"/>
                <w:bCs w:val="0"/>
                <w:color w:val="auto"/>
                <w:sz w:val="21"/>
                <w:szCs w:val="21"/>
                <w:highlight w:val="none"/>
                <w:u w:val="none"/>
                <w:lang w:val="en-US" w:eastAsia="zh-CN"/>
              </w:rPr>
              <w:t>纵向科研项目到款额；当年纵向科研项目人均到款额较上一年增长10%及以上得2分；增长5%及以上得1.5分；增长3%及以上得1分；有增长得0.5分；其余不得分。</w:t>
            </w:r>
            <w:r>
              <w:rPr>
                <w:rFonts w:hint="eastAsia" w:ascii="仿宋" w:hAnsi="仿宋" w:eastAsia="仿宋" w:cs="仿宋"/>
                <w:b w:val="0"/>
                <w:bCs w:val="0"/>
                <w:color w:val="auto"/>
                <w:sz w:val="21"/>
                <w:szCs w:val="21"/>
                <w:highlight w:val="none"/>
                <w:u w:val="none"/>
                <w:lang w:val="en-US" w:eastAsia="zh-CN"/>
              </w:rPr>
              <w:br w:type="textWrapping"/>
            </w:r>
            <w:r>
              <w:rPr>
                <w:rFonts w:hint="eastAsia" w:ascii="仿宋" w:hAnsi="仿宋" w:eastAsia="仿宋" w:cs="仿宋"/>
                <w:b/>
                <w:bCs/>
                <w:color w:val="auto"/>
                <w:sz w:val="21"/>
                <w:szCs w:val="21"/>
                <w:highlight w:val="none"/>
                <w:u w:val="none"/>
                <w:lang w:val="en-US" w:eastAsia="zh-CN"/>
              </w:rPr>
              <w:t>3.</w:t>
            </w:r>
            <w:r>
              <w:rPr>
                <w:rFonts w:hint="eastAsia" w:ascii="仿宋" w:hAnsi="仿宋" w:eastAsia="仿宋" w:cs="仿宋"/>
                <w:b w:val="0"/>
                <w:bCs w:val="0"/>
                <w:color w:val="auto"/>
                <w:sz w:val="21"/>
                <w:szCs w:val="21"/>
                <w:highlight w:val="none"/>
                <w:u w:val="none"/>
                <w:lang w:val="en-US" w:eastAsia="zh-CN"/>
              </w:rPr>
              <w:t>横向技术服务到款额；当年横向科研项目到款额人均到款额较上一年增长10%及以上得2分；增长5%及以上得1.5分；增长3%及以上得1分；有增长得0.5分；其余不得分。</w:t>
            </w:r>
            <w:r>
              <w:rPr>
                <w:rFonts w:hint="eastAsia" w:ascii="仿宋" w:hAnsi="仿宋" w:eastAsia="仿宋" w:cs="仿宋"/>
                <w:b w:val="0"/>
                <w:bCs w:val="0"/>
                <w:color w:val="auto"/>
                <w:sz w:val="21"/>
                <w:szCs w:val="21"/>
                <w:highlight w:val="none"/>
                <w:u w:val="none"/>
                <w:lang w:val="en-US" w:eastAsia="zh-CN"/>
              </w:rPr>
              <w:br w:type="textWrapping"/>
            </w:r>
            <w:r>
              <w:rPr>
                <w:rFonts w:hint="eastAsia" w:ascii="仿宋" w:hAnsi="仿宋" w:eastAsia="仿宋" w:cs="仿宋"/>
                <w:b w:val="0"/>
                <w:bCs w:val="0"/>
                <w:color w:val="auto"/>
                <w:sz w:val="21"/>
                <w:szCs w:val="21"/>
                <w:highlight w:val="none"/>
                <w:u w:val="none"/>
                <w:lang w:val="en-US" w:eastAsia="zh-CN"/>
              </w:rPr>
              <w:t>说明：纵横向总量或任意一项到款额达到学校总量或单项总额的50%，可得此项满分。</w:t>
            </w:r>
          </w:p>
        </w:tc>
        <w:tc>
          <w:tcPr>
            <w:tcW w:w="457" w:type="pct"/>
            <w:shd w:val="clear" w:color="auto" w:fill="auto"/>
            <w:vAlign w:val="center"/>
          </w:tcPr>
          <w:p w14:paraId="5D9637E2">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rPr>
              <w:t>科研处（地方服务合作处）</w:t>
            </w:r>
          </w:p>
        </w:tc>
      </w:tr>
      <w:tr w14:paraId="4D7AD78A">
        <w:trPr>
          <w:trHeight w:val="90" w:hRule="atLeast"/>
        </w:trPr>
        <w:tc>
          <w:tcPr>
            <w:tcW w:w="432" w:type="pct"/>
            <w:vMerge w:val="continue"/>
          </w:tcPr>
          <w:p w14:paraId="2CBCA146">
            <w:pPr>
              <w:keepNext w:val="0"/>
              <w:keepLines w:val="0"/>
              <w:pageBreakBefore w:val="0"/>
              <w:widowControl w:val="0"/>
              <w:kinsoku/>
              <w:wordWrap/>
              <w:overflowPunct/>
              <w:topLinePunct w:val="0"/>
              <w:autoSpaceDE/>
              <w:autoSpaceDN/>
              <w:bidi w:val="0"/>
              <w:adjustRightInd/>
              <w:snapToGrid/>
              <w:spacing w:line="440" w:lineRule="atLeast"/>
              <w:jc w:val="center"/>
              <w:textAlignment w:val="auto"/>
              <w:rPr>
                <w:rFonts w:hint="eastAsia" w:ascii="仿宋" w:hAnsi="仿宋" w:eastAsia="仿宋" w:cs="仿宋"/>
                <w:b w:val="0"/>
                <w:bCs w:val="0"/>
                <w:color w:val="auto"/>
                <w:sz w:val="21"/>
                <w:szCs w:val="21"/>
                <w:u w:val="none"/>
                <w:lang w:val="en-US" w:eastAsia="zh-CN"/>
              </w:rPr>
            </w:pPr>
          </w:p>
        </w:tc>
        <w:tc>
          <w:tcPr>
            <w:tcW w:w="4567" w:type="pct"/>
            <w:gridSpan w:val="3"/>
            <w:shd w:val="clear" w:color="auto" w:fill="auto"/>
            <w:vAlign w:val="center"/>
          </w:tcPr>
          <w:p w14:paraId="793FC21C">
            <w:pPr>
              <w:keepNext w:val="0"/>
              <w:keepLines w:val="0"/>
              <w:pageBreakBefore w:val="0"/>
              <w:widowControl w:val="0"/>
              <w:kinsoku/>
              <w:wordWrap/>
              <w:overflowPunct/>
              <w:topLinePunct w:val="0"/>
              <w:autoSpaceDN/>
              <w:bidi w:val="0"/>
              <w:adjustRightInd/>
              <w:snapToGrid/>
              <w:spacing w:line="300" w:lineRule="exact"/>
              <w:jc w:val="center"/>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bCs/>
                <w:color w:val="auto"/>
                <w:sz w:val="21"/>
                <w:szCs w:val="21"/>
                <w:u w:val="none"/>
                <w:lang w:val="en-US" w:eastAsia="zh-CN"/>
              </w:rPr>
              <w:t>发展性指标</w:t>
            </w:r>
          </w:p>
        </w:tc>
      </w:tr>
      <w:tr w14:paraId="31178F84">
        <w:trPr>
          <w:trHeight w:val="90" w:hRule="atLeast"/>
        </w:trPr>
        <w:tc>
          <w:tcPr>
            <w:tcW w:w="432" w:type="pct"/>
            <w:vMerge w:val="continue"/>
          </w:tcPr>
          <w:p w14:paraId="01CE817A">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shd w:val="clear" w:color="auto" w:fill="auto"/>
            <w:vAlign w:val="center"/>
          </w:tcPr>
          <w:p w14:paraId="633CBB76">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科研项目及成果（3分）</w:t>
            </w:r>
          </w:p>
        </w:tc>
        <w:tc>
          <w:tcPr>
            <w:tcW w:w="3566" w:type="pct"/>
            <w:shd w:val="clear" w:color="auto" w:fill="auto"/>
            <w:vAlign w:val="center"/>
          </w:tcPr>
          <w:p w14:paraId="344C6B2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val="0"/>
                <w:bCs w:val="0"/>
                <w:color w:val="C00000"/>
                <w:sz w:val="21"/>
                <w:szCs w:val="21"/>
                <w:u w:val="none"/>
                <w:lang w:val="en-US" w:eastAsia="zh-CN"/>
              </w:rPr>
            </w:pPr>
            <w:r>
              <w:rPr>
                <w:rFonts w:hint="eastAsia" w:ascii="仿宋" w:hAnsi="仿宋" w:eastAsia="仿宋" w:cs="仿宋"/>
                <w:b w:val="0"/>
                <w:bCs w:val="0"/>
                <w:color w:val="auto"/>
                <w:sz w:val="21"/>
                <w:szCs w:val="21"/>
                <w:highlight w:val="none"/>
                <w:u w:val="none"/>
                <w:lang w:val="en-US" w:eastAsia="zh-CN"/>
              </w:rPr>
              <w:t>省部级及以上科研成果奖一等奖3分；二等奖2分； 三等奖1分；省部级及以上课题立项0.5分/项；发表核心论文或出版中央级出版社著作0. 5分/篇（部）；省委、省政府及以上领导肯定性批示0.5分/项，获市委、市政府领导肯定性批示获0.3分/项；优秀案例获评省级及以上0.2/篇，市级及以上0.1/篇。</w:t>
            </w:r>
            <w:r>
              <w:rPr>
                <w:rFonts w:hint="eastAsia" w:ascii="仿宋" w:hAnsi="仿宋" w:eastAsia="仿宋" w:cs="仿宋"/>
                <w:b w:val="0"/>
                <w:bCs w:val="0"/>
                <w:color w:val="auto"/>
                <w:sz w:val="21"/>
                <w:szCs w:val="21"/>
                <w:highlight w:val="none"/>
                <w:u w:val="none"/>
                <w:lang w:val="en-US" w:eastAsia="zh-CN"/>
              </w:rPr>
              <w:br w:type="textWrapping"/>
            </w:r>
            <w:r>
              <w:rPr>
                <w:rFonts w:hint="eastAsia" w:ascii="仿宋" w:hAnsi="仿宋" w:eastAsia="仿宋" w:cs="仿宋"/>
                <w:b w:val="0"/>
                <w:bCs w:val="0"/>
                <w:color w:val="auto"/>
                <w:sz w:val="21"/>
                <w:szCs w:val="21"/>
                <w:highlight w:val="none"/>
                <w:u w:val="none"/>
                <w:lang w:val="en-US" w:eastAsia="zh-CN"/>
              </w:rPr>
              <w:t>（以上成果由本校主持及第一完成人）</w:t>
            </w:r>
          </w:p>
        </w:tc>
        <w:tc>
          <w:tcPr>
            <w:tcW w:w="457" w:type="pct"/>
            <w:shd w:val="clear" w:color="auto" w:fill="auto"/>
            <w:vAlign w:val="center"/>
          </w:tcPr>
          <w:p w14:paraId="0AA84860">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科研处（地方服务合作处）</w:t>
            </w:r>
          </w:p>
          <w:p w14:paraId="3BF1911E">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p>
        </w:tc>
      </w:tr>
      <w:tr w14:paraId="6AD3684D">
        <w:trPr>
          <w:trHeight w:val="90" w:hRule="atLeast"/>
        </w:trPr>
        <w:tc>
          <w:tcPr>
            <w:tcW w:w="432" w:type="pct"/>
            <w:vMerge w:val="restart"/>
            <w:vAlign w:val="center"/>
          </w:tcPr>
          <w:p w14:paraId="713446E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0" w:firstLineChars="0"/>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6.师资队伍建设</w:t>
            </w:r>
          </w:p>
          <w:p w14:paraId="302450E6">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ascii="仿宋" w:hAnsi="仿宋" w:eastAsia="仿宋" w:cs="仿宋"/>
                <w:b w:val="0"/>
                <w:bCs w:val="0"/>
                <w:color w:val="auto"/>
                <w:sz w:val="21"/>
                <w:szCs w:val="21"/>
                <w:u w:val="none"/>
                <w:lang w:eastAsia="zh-CN"/>
              </w:rPr>
            </w:pPr>
            <w:r>
              <w:rPr>
                <w:rFonts w:hint="eastAsia" w:ascii="仿宋" w:hAnsi="仿宋" w:eastAsia="仿宋" w:cs="仿宋"/>
                <w:b w:val="0"/>
                <w:bCs w:val="0"/>
                <w:color w:val="auto"/>
                <w:sz w:val="21"/>
                <w:szCs w:val="21"/>
                <w:u w:val="none"/>
                <w:lang w:val="en-US" w:eastAsia="zh-CN"/>
              </w:rPr>
              <w:t>（11分）</w:t>
            </w:r>
          </w:p>
        </w:tc>
        <w:tc>
          <w:tcPr>
            <w:tcW w:w="4567" w:type="pct"/>
            <w:gridSpan w:val="3"/>
            <w:shd w:val="clear" w:color="auto" w:fill="auto"/>
            <w:vAlign w:val="center"/>
          </w:tcPr>
          <w:p w14:paraId="71AF1D5B">
            <w:pPr>
              <w:keepNext w:val="0"/>
              <w:keepLines w:val="0"/>
              <w:pageBreakBefore w:val="0"/>
              <w:widowControl w:val="0"/>
              <w:kinsoku/>
              <w:wordWrap/>
              <w:overflowPunct/>
              <w:topLinePunct w:val="0"/>
              <w:autoSpaceDN/>
              <w:bidi w:val="0"/>
              <w:adjustRightInd/>
              <w:snapToGrid/>
              <w:spacing w:line="30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基础性指标</w:t>
            </w:r>
          </w:p>
        </w:tc>
      </w:tr>
      <w:tr w14:paraId="55BD1BAB">
        <w:trPr>
          <w:trHeight w:val="880" w:hRule="atLeast"/>
        </w:trPr>
        <w:tc>
          <w:tcPr>
            <w:tcW w:w="432" w:type="pct"/>
            <w:vMerge w:val="continue"/>
          </w:tcPr>
          <w:p w14:paraId="01C2229C">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66A6313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“双师型”教师队伍建设</w:t>
            </w:r>
          </w:p>
          <w:p w14:paraId="396F5E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rPr>
              <w:t>（</w:t>
            </w:r>
            <w:r>
              <w:rPr>
                <w:rFonts w:hint="eastAsia" w:ascii="仿宋" w:hAnsi="仿宋" w:eastAsia="仿宋" w:cs="仿宋"/>
                <w:b w:val="0"/>
                <w:bCs w:val="0"/>
                <w:color w:val="auto"/>
                <w:sz w:val="21"/>
                <w:szCs w:val="21"/>
                <w:highlight w:val="none"/>
                <w:u w:val="none"/>
                <w:lang w:val="en-US" w:eastAsia="zh-CN"/>
              </w:rPr>
              <w:t>2</w:t>
            </w:r>
            <w:r>
              <w:rPr>
                <w:rFonts w:hint="eastAsia" w:ascii="仿宋" w:hAnsi="仿宋" w:eastAsia="仿宋" w:cs="仿宋"/>
                <w:b w:val="0"/>
                <w:bCs w:val="0"/>
                <w:color w:val="auto"/>
                <w:sz w:val="21"/>
                <w:szCs w:val="21"/>
                <w:highlight w:val="none"/>
                <w:u w:val="none"/>
              </w:rPr>
              <w:t>分）</w:t>
            </w:r>
          </w:p>
        </w:tc>
        <w:tc>
          <w:tcPr>
            <w:tcW w:w="3566" w:type="pct"/>
            <w:vAlign w:val="center"/>
          </w:tcPr>
          <w:p w14:paraId="269634B6">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1.</w:t>
            </w:r>
            <w:r>
              <w:rPr>
                <w:rFonts w:hint="eastAsia" w:ascii="仿宋" w:hAnsi="仿宋" w:eastAsia="仿宋" w:cs="仿宋"/>
                <w:b w:val="0"/>
                <w:bCs w:val="0"/>
                <w:color w:val="auto"/>
                <w:sz w:val="21"/>
                <w:szCs w:val="21"/>
                <w:highlight w:val="none"/>
                <w:u w:val="none"/>
                <w:lang w:val="en-US" w:eastAsia="zh-CN"/>
              </w:rPr>
              <w:t>“双师型”教师占比95%及以上得1分；占比90%及以上得0.5分。</w:t>
            </w:r>
          </w:p>
          <w:p w14:paraId="5C483085">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rPr>
              <w:t>2.</w:t>
            </w:r>
            <w:r>
              <w:rPr>
                <w:rFonts w:hint="eastAsia" w:ascii="仿宋" w:hAnsi="仿宋" w:eastAsia="仿宋" w:cs="仿宋"/>
                <w:b w:val="0"/>
                <w:bCs w:val="0"/>
                <w:color w:val="auto"/>
                <w:sz w:val="21"/>
                <w:szCs w:val="21"/>
                <w:highlight w:val="none"/>
                <w:u w:val="none"/>
                <w:lang w:val="en-US" w:eastAsia="zh-CN"/>
              </w:rPr>
              <w:t>当年度教师下企业挂职天数达到一个月及以上的教师占所属单位专任教师数的100%得0.5分，且当年≥80%下企业教师在本学院教师企业实践基地进行实践得0.5分，累计不超过1分。</w:t>
            </w:r>
          </w:p>
        </w:tc>
        <w:tc>
          <w:tcPr>
            <w:tcW w:w="457" w:type="pct"/>
            <w:vAlign w:val="center"/>
          </w:tcPr>
          <w:p w14:paraId="0C8103A3">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人事处（教师工作部）</w:t>
            </w:r>
          </w:p>
          <w:p w14:paraId="45184055">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p>
        </w:tc>
      </w:tr>
      <w:tr w14:paraId="16944D93">
        <w:trPr>
          <w:trHeight w:val="1416" w:hRule="atLeast"/>
        </w:trPr>
        <w:tc>
          <w:tcPr>
            <w:tcW w:w="432" w:type="pct"/>
            <w:vMerge w:val="continue"/>
          </w:tcPr>
          <w:p w14:paraId="3E662B58">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4DDD35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兼职教师</w:t>
            </w:r>
          </w:p>
          <w:p w14:paraId="174713B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（2分）</w:t>
            </w:r>
          </w:p>
        </w:tc>
        <w:tc>
          <w:tcPr>
            <w:tcW w:w="3566" w:type="pct"/>
            <w:vAlign w:val="center"/>
          </w:tcPr>
          <w:p w14:paraId="75690CEF">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firstLine="0"/>
              <w:jc w:val="both"/>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bCs/>
                <w:color w:val="auto"/>
                <w:sz w:val="21"/>
                <w:szCs w:val="21"/>
                <w:highlight w:val="none"/>
                <w:u w:val="none"/>
                <w:lang w:val="en-US" w:eastAsia="zh-CN" w:bidi="ar-SA"/>
              </w:rPr>
              <w:t>1.</w:t>
            </w:r>
            <w:r>
              <w:rPr>
                <w:rFonts w:hint="eastAsia" w:ascii="仿宋" w:hAnsi="仿宋" w:eastAsia="仿宋" w:cs="仿宋"/>
                <w:b w:val="0"/>
                <w:bCs w:val="0"/>
                <w:color w:val="auto"/>
                <w:sz w:val="21"/>
                <w:szCs w:val="21"/>
                <w:highlight w:val="none"/>
                <w:u w:val="none"/>
                <w:lang w:val="en-US" w:eastAsia="zh-CN" w:bidi="ar-SA"/>
              </w:rPr>
              <w:t>“产业导师”“科技副总”聘请情况（1分）：建立了学院和企业人才双向流动机制且本年度各专业均分别聘请“产业导师”或“科技副总”得1分；80%以上专业分别聘请了“产业导师”或“科技副总”得0.5分；其余不得分。</w:t>
            </w:r>
          </w:p>
          <w:p w14:paraId="2278428F">
            <w:pPr>
              <w:keepNext w:val="0"/>
              <w:keepLines w:val="0"/>
              <w:pageBreakBefore w:val="0"/>
              <w:kinsoku/>
              <w:wordWrap/>
              <w:overflowPunct/>
              <w:topLinePunct w:val="0"/>
              <w:autoSpaceDE/>
              <w:autoSpaceDN/>
              <w:bidi w:val="0"/>
              <w:adjustRightInd/>
              <w:snapToGrid/>
              <w:spacing w:line="280" w:lineRule="exact"/>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eastAsia="zh-CN" w:bidi="ar-SA"/>
              </w:rPr>
              <w:t>2.</w:t>
            </w:r>
            <w:r>
              <w:rPr>
                <w:rFonts w:hint="eastAsia" w:ascii="仿宋" w:hAnsi="仿宋" w:eastAsia="仿宋" w:cs="仿宋"/>
                <w:b w:val="0"/>
                <w:bCs w:val="0"/>
                <w:color w:val="auto"/>
                <w:sz w:val="21"/>
                <w:szCs w:val="21"/>
                <w:highlight w:val="none"/>
                <w:u w:val="none"/>
                <w:lang w:val="en-US" w:eastAsia="zh-CN" w:bidi="ar-SA"/>
              </w:rPr>
              <w:t>兼职教师聘请情况（1分）：兼职教师数量和课时总量均达到要求，根据兼职教师中高级岗位人数比例，按格次赋分法赋分，兼职教师数量和课时总量未达到要求不得分。</w:t>
            </w:r>
          </w:p>
        </w:tc>
        <w:tc>
          <w:tcPr>
            <w:tcW w:w="457" w:type="pct"/>
            <w:vAlign w:val="center"/>
          </w:tcPr>
          <w:p w14:paraId="2313D619">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人事处（教师工作部）</w:t>
            </w:r>
          </w:p>
          <w:p w14:paraId="1112E588">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/教务处</w:t>
            </w:r>
          </w:p>
        </w:tc>
      </w:tr>
      <w:tr w14:paraId="719EC8A3">
        <w:trPr>
          <w:trHeight w:val="502" w:hRule="atLeast"/>
        </w:trPr>
        <w:tc>
          <w:tcPr>
            <w:tcW w:w="432" w:type="pct"/>
            <w:vMerge w:val="continue"/>
          </w:tcPr>
          <w:p w14:paraId="3C33DD31">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280A308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教师培训</w:t>
            </w:r>
          </w:p>
          <w:p w14:paraId="3C81C3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（1分）</w:t>
            </w:r>
          </w:p>
        </w:tc>
        <w:tc>
          <w:tcPr>
            <w:tcW w:w="3566" w:type="pct"/>
          </w:tcPr>
          <w:p w14:paraId="1C0341F5">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本年度能按上级（国家、省、市）要求组织本学院教师参加培训得0.5分，且能按时获得培训证书并及时上传人事系统，得0.5分。满分1分。</w:t>
            </w:r>
          </w:p>
        </w:tc>
        <w:tc>
          <w:tcPr>
            <w:tcW w:w="457" w:type="pct"/>
            <w:vMerge w:val="restart"/>
            <w:vAlign w:val="center"/>
          </w:tcPr>
          <w:p w14:paraId="09A7373D">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人事处（教师工作部）</w:t>
            </w:r>
          </w:p>
          <w:p w14:paraId="35FAE02E">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p>
        </w:tc>
      </w:tr>
      <w:tr w14:paraId="31D6E88E">
        <w:trPr>
          <w:trHeight w:val="465" w:hRule="atLeast"/>
        </w:trPr>
        <w:tc>
          <w:tcPr>
            <w:tcW w:w="432" w:type="pct"/>
            <w:vMerge w:val="continue"/>
          </w:tcPr>
          <w:p w14:paraId="487C6230">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shd w:val="clear" w:color="auto" w:fill="auto"/>
            <w:vAlign w:val="center"/>
          </w:tcPr>
          <w:p w14:paraId="29E739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lang w:val="en-US" w:eastAsia="zh-CN"/>
              </w:rPr>
              <w:t>校级</w:t>
            </w:r>
            <w:r>
              <w:rPr>
                <w:rFonts w:hint="eastAsia" w:ascii="仿宋" w:hAnsi="仿宋" w:eastAsia="仿宋" w:cs="仿宋"/>
                <w:b w:val="0"/>
                <w:bCs w:val="0"/>
                <w:color w:val="auto"/>
                <w:sz w:val="21"/>
                <w:szCs w:val="21"/>
                <w:highlight w:val="none"/>
                <w:u w:val="none"/>
              </w:rPr>
              <w:t>基地建设</w:t>
            </w:r>
          </w:p>
          <w:p w14:paraId="08CF726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w:t>
            </w:r>
            <w:r>
              <w:rPr>
                <w:rFonts w:hint="eastAsia" w:ascii="仿宋" w:hAnsi="仿宋" w:eastAsia="仿宋" w:cs="仿宋"/>
                <w:b w:val="0"/>
                <w:bCs w:val="0"/>
                <w:color w:val="auto"/>
                <w:sz w:val="21"/>
                <w:szCs w:val="21"/>
                <w:highlight w:val="none"/>
                <w:u w:val="none"/>
                <w:lang w:val="en-US" w:eastAsia="zh-CN"/>
              </w:rPr>
              <w:t>0.5</w:t>
            </w:r>
            <w:r>
              <w:rPr>
                <w:rFonts w:hint="eastAsia" w:ascii="仿宋" w:hAnsi="仿宋" w:eastAsia="仿宋" w:cs="仿宋"/>
                <w:b w:val="0"/>
                <w:bCs w:val="0"/>
                <w:color w:val="auto"/>
                <w:sz w:val="21"/>
                <w:szCs w:val="21"/>
                <w:highlight w:val="none"/>
                <w:u w:val="none"/>
              </w:rPr>
              <w:t>分）</w:t>
            </w:r>
          </w:p>
        </w:tc>
        <w:tc>
          <w:tcPr>
            <w:tcW w:w="3566" w:type="pct"/>
            <w:shd w:val="clear" w:color="auto" w:fill="auto"/>
            <w:vAlign w:val="top"/>
          </w:tcPr>
          <w:p w14:paraId="394CC0E1">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highlight w:val="none"/>
                <w:u w:val="none"/>
                <w:lang w:val="en-US" w:eastAsia="zh-CN"/>
              </w:rPr>
              <w:t>中期检查通过或结项建成校级“双师型”教师培养培训基地和校级教师企业实践基地得0.5分；无基地建设项目、中期检查不通过或无结项建成基地的不得分。</w:t>
            </w:r>
            <w:bookmarkStart w:id="0" w:name="_GoBack"/>
            <w:bookmarkEnd w:id="0"/>
          </w:p>
        </w:tc>
        <w:tc>
          <w:tcPr>
            <w:tcW w:w="457" w:type="pct"/>
            <w:vMerge w:val="continue"/>
            <w:shd w:val="clear" w:color="auto" w:fill="auto"/>
            <w:vAlign w:val="center"/>
          </w:tcPr>
          <w:p w14:paraId="36B33ECB">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p>
        </w:tc>
      </w:tr>
      <w:tr w14:paraId="2B19C63C">
        <w:trPr>
          <w:trHeight w:val="152" w:hRule="atLeast"/>
        </w:trPr>
        <w:tc>
          <w:tcPr>
            <w:tcW w:w="432" w:type="pct"/>
            <w:vMerge w:val="continue"/>
          </w:tcPr>
          <w:p w14:paraId="19CF3A90">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4567" w:type="pct"/>
            <w:gridSpan w:val="3"/>
            <w:vAlign w:val="center"/>
          </w:tcPr>
          <w:p w14:paraId="7C66361D">
            <w:pPr>
              <w:keepNext w:val="0"/>
              <w:keepLines w:val="0"/>
              <w:pageBreakBefore w:val="0"/>
              <w:widowControl w:val="0"/>
              <w:kinsoku/>
              <w:wordWrap/>
              <w:overflowPunct/>
              <w:topLinePunct w:val="0"/>
              <w:autoSpaceDN/>
              <w:bidi w:val="0"/>
              <w:adjustRightInd/>
              <w:snapToGrid/>
              <w:spacing w:line="30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发展性指标</w:t>
            </w:r>
          </w:p>
        </w:tc>
      </w:tr>
      <w:tr w14:paraId="7670CF30">
        <w:trPr>
          <w:trHeight w:val="288" w:hRule="atLeast"/>
        </w:trPr>
        <w:tc>
          <w:tcPr>
            <w:tcW w:w="432" w:type="pct"/>
            <w:vMerge w:val="continue"/>
          </w:tcPr>
          <w:p w14:paraId="09A231A3">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shd w:val="clear" w:color="auto" w:fill="auto"/>
            <w:vAlign w:val="center"/>
          </w:tcPr>
          <w:p w14:paraId="5D2D5D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“影响力”教师队伍建设</w:t>
            </w:r>
          </w:p>
          <w:p w14:paraId="19D9AB0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（2分）</w:t>
            </w:r>
          </w:p>
        </w:tc>
        <w:tc>
          <w:tcPr>
            <w:tcW w:w="3566" w:type="pct"/>
            <w:shd w:val="clear" w:color="auto" w:fill="auto"/>
            <w:vAlign w:val="center"/>
          </w:tcPr>
          <w:p w14:paraId="3A3F284F">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本年度培养高水平教师（团队）获国家级荣誉1项或省级2项以上为A；省级荣誉1项为B；市级荣誉1项为C；其余不得分。</w:t>
            </w:r>
          </w:p>
        </w:tc>
        <w:tc>
          <w:tcPr>
            <w:tcW w:w="457" w:type="pct"/>
            <w:vMerge w:val="restart"/>
            <w:shd w:val="clear" w:color="auto" w:fill="auto"/>
            <w:vAlign w:val="center"/>
          </w:tcPr>
          <w:p w14:paraId="3E751397">
            <w:pPr>
              <w:keepNext w:val="0"/>
              <w:keepLines w:val="0"/>
              <w:pageBreakBefore w:val="0"/>
              <w:widowControl w:val="0"/>
              <w:kinsoku/>
              <w:wordWrap/>
              <w:overflowPunct/>
              <w:topLinePunct w:val="0"/>
              <w:autoSpaceDN/>
              <w:bidi w:val="0"/>
              <w:adjustRightInd/>
              <w:snapToGrid/>
              <w:spacing w:line="220" w:lineRule="exact"/>
              <w:jc w:val="center"/>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人事处（教师工作部）</w:t>
            </w:r>
          </w:p>
          <w:p w14:paraId="591C4133">
            <w:pPr>
              <w:keepNext w:val="0"/>
              <w:keepLines w:val="0"/>
              <w:pageBreakBefore w:val="0"/>
              <w:widowControl w:val="0"/>
              <w:kinsoku/>
              <w:wordWrap/>
              <w:overflowPunct/>
              <w:topLinePunct w:val="0"/>
              <w:autoSpaceDN/>
              <w:bidi w:val="0"/>
              <w:adjustRightInd/>
              <w:snapToGrid/>
              <w:spacing w:line="220" w:lineRule="exact"/>
              <w:jc w:val="center"/>
              <w:textAlignment w:val="auto"/>
              <w:rPr>
                <w:rFonts w:hint="eastAsia" w:ascii="仿宋" w:hAnsi="仿宋" w:eastAsia="仿宋" w:cs="仿宋"/>
                <w:b w:val="0"/>
                <w:bCs w:val="0"/>
                <w:color w:val="auto"/>
                <w:sz w:val="21"/>
                <w:szCs w:val="21"/>
                <w:u w:val="none"/>
                <w:lang w:val="en-US" w:eastAsia="zh-CN" w:bidi="ar-SA"/>
              </w:rPr>
            </w:pPr>
          </w:p>
        </w:tc>
      </w:tr>
      <w:tr w14:paraId="26EF6DB1">
        <w:trPr>
          <w:trHeight w:val="193" w:hRule="atLeast"/>
        </w:trPr>
        <w:tc>
          <w:tcPr>
            <w:tcW w:w="432" w:type="pct"/>
            <w:vMerge w:val="continue"/>
          </w:tcPr>
          <w:p w14:paraId="1617B93A">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shd w:val="clear" w:color="auto" w:fill="auto"/>
            <w:vAlign w:val="center"/>
          </w:tcPr>
          <w:p w14:paraId="426517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lang w:val="en-US" w:eastAsia="zh-CN"/>
              </w:rPr>
              <w:t>高水平</w:t>
            </w:r>
            <w:r>
              <w:rPr>
                <w:rFonts w:hint="eastAsia" w:ascii="仿宋" w:hAnsi="仿宋" w:eastAsia="仿宋" w:cs="仿宋"/>
                <w:b w:val="0"/>
                <w:bCs w:val="0"/>
                <w:color w:val="auto"/>
                <w:sz w:val="21"/>
                <w:szCs w:val="21"/>
                <w:highlight w:val="none"/>
                <w:u w:val="none"/>
              </w:rPr>
              <w:t>基地建设（</w:t>
            </w:r>
            <w:r>
              <w:rPr>
                <w:rFonts w:hint="eastAsia" w:ascii="仿宋" w:hAnsi="仿宋" w:eastAsia="仿宋" w:cs="仿宋"/>
                <w:b w:val="0"/>
                <w:bCs w:val="0"/>
                <w:color w:val="auto"/>
                <w:sz w:val="21"/>
                <w:szCs w:val="21"/>
                <w:highlight w:val="none"/>
                <w:u w:val="none"/>
                <w:lang w:val="en-US" w:eastAsia="zh-CN"/>
              </w:rPr>
              <w:t>1</w:t>
            </w:r>
            <w:r>
              <w:rPr>
                <w:rFonts w:hint="eastAsia" w:ascii="仿宋" w:hAnsi="仿宋" w:eastAsia="仿宋" w:cs="仿宋"/>
                <w:b w:val="0"/>
                <w:bCs w:val="0"/>
                <w:color w:val="auto"/>
                <w:sz w:val="21"/>
                <w:szCs w:val="21"/>
                <w:highlight w:val="none"/>
                <w:u w:val="none"/>
              </w:rPr>
              <w:t>分）</w:t>
            </w:r>
          </w:p>
        </w:tc>
        <w:tc>
          <w:tcPr>
            <w:tcW w:w="3566" w:type="pct"/>
            <w:shd w:val="clear" w:color="auto" w:fill="auto"/>
            <w:vAlign w:val="center"/>
          </w:tcPr>
          <w:p w14:paraId="7CF7C551">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本年度新建成国家级“双师型”教师培养培训基地或教师企业实践基地1个或省级2个以上为A；省级1个为B；市级1个为C；其余不得分。</w:t>
            </w:r>
          </w:p>
        </w:tc>
        <w:tc>
          <w:tcPr>
            <w:tcW w:w="457" w:type="pct"/>
            <w:vMerge w:val="continue"/>
            <w:shd w:val="clear" w:color="auto" w:fill="auto"/>
            <w:vAlign w:val="center"/>
          </w:tcPr>
          <w:p w14:paraId="2DF4247D">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p>
        </w:tc>
      </w:tr>
      <w:tr w14:paraId="41F64663">
        <w:trPr>
          <w:trHeight w:val="494" w:hRule="atLeast"/>
        </w:trPr>
        <w:tc>
          <w:tcPr>
            <w:tcW w:w="432" w:type="pct"/>
            <w:vMerge w:val="continue"/>
          </w:tcPr>
          <w:p w14:paraId="09829CA8">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shd w:val="clear" w:color="auto" w:fill="auto"/>
            <w:vAlign w:val="center"/>
          </w:tcPr>
          <w:p w14:paraId="3E538E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人才引培</w:t>
            </w:r>
          </w:p>
          <w:p w14:paraId="22972D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（1分）</w:t>
            </w:r>
          </w:p>
        </w:tc>
        <w:tc>
          <w:tcPr>
            <w:tcW w:w="3566" w:type="pct"/>
            <w:shd w:val="clear" w:color="auto" w:fill="auto"/>
            <w:vAlign w:val="center"/>
          </w:tcPr>
          <w:p w14:paraId="5742E12A">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本年度</w:t>
            </w:r>
            <w:r>
              <w:rPr>
                <w:rFonts w:hint="eastAsia" w:ascii="仿宋" w:hAnsi="仿宋" w:eastAsia="仿宋" w:cs="仿宋"/>
                <w:b w:val="0"/>
                <w:bCs w:val="0"/>
                <w:color w:val="auto"/>
                <w:sz w:val="21"/>
                <w:szCs w:val="21"/>
                <w:highlight w:val="none"/>
                <w:u w:val="none"/>
                <w:lang w:val="en-US" w:eastAsia="zh-CN"/>
              </w:rPr>
              <w:t>引培高学历、高层次、高技能等高水平教师2名及以上为A；1名为B；其余不得分。</w:t>
            </w:r>
          </w:p>
        </w:tc>
        <w:tc>
          <w:tcPr>
            <w:tcW w:w="457" w:type="pct"/>
            <w:vMerge w:val="continue"/>
            <w:shd w:val="clear" w:color="auto" w:fill="auto"/>
            <w:vAlign w:val="center"/>
          </w:tcPr>
          <w:p w14:paraId="397FB55B">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p>
        </w:tc>
      </w:tr>
      <w:tr w14:paraId="5CFFFBC6">
        <w:trPr>
          <w:trHeight w:val="594" w:hRule="atLeast"/>
        </w:trPr>
        <w:tc>
          <w:tcPr>
            <w:tcW w:w="432" w:type="pct"/>
            <w:vMerge w:val="continue"/>
          </w:tcPr>
          <w:p w14:paraId="7DD26AE9">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shd w:val="clear" w:color="auto" w:fill="auto"/>
            <w:vAlign w:val="center"/>
          </w:tcPr>
          <w:p w14:paraId="4EF29E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bidi="ar-SA"/>
              </w:rPr>
              <w:t>团队建设</w:t>
            </w:r>
          </w:p>
          <w:p w14:paraId="62AB7B6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bidi="ar-SA"/>
              </w:rPr>
              <w:t>（1.5分）</w:t>
            </w:r>
          </w:p>
        </w:tc>
        <w:tc>
          <w:tcPr>
            <w:tcW w:w="3566" w:type="pct"/>
            <w:shd w:val="clear" w:color="auto" w:fill="auto"/>
            <w:vAlign w:val="center"/>
          </w:tcPr>
          <w:p w14:paraId="51EBA53C">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本年度培育国家级教师创新团队（</w:t>
            </w:r>
            <w:r>
              <w:rPr>
                <w:rFonts w:hint="eastAsia" w:ascii="仿宋" w:hAnsi="仿宋" w:eastAsia="仿宋" w:cs="仿宋"/>
                <w:b w:val="0"/>
                <w:bCs w:val="0"/>
                <w:color w:val="auto"/>
                <w:sz w:val="21"/>
                <w:szCs w:val="21"/>
                <w:u w:val="none"/>
                <w:lang w:eastAsia="zh-CN"/>
                <w:woUserID w:val="1"/>
              </w:rPr>
              <w:t>含</w:t>
            </w:r>
            <w:r>
              <w:rPr>
                <w:rFonts w:hint="eastAsia" w:ascii="仿宋" w:hAnsi="仿宋" w:eastAsia="仿宋" w:cs="仿宋"/>
                <w:b w:val="0"/>
                <w:bCs w:val="0"/>
                <w:color w:val="auto"/>
                <w:sz w:val="21"/>
                <w:szCs w:val="21"/>
                <w:u w:val="none"/>
                <w:lang w:val="en-US" w:eastAsia="zh-CN"/>
              </w:rPr>
              <w:t>名工作室等）1个以上</w:t>
            </w:r>
            <w:r>
              <w:rPr>
                <w:rFonts w:hint="eastAsia" w:ascii="仿宋" w:hAnsi="仿宋" w:eastAsia="仿宋" w:cs="仿宋"/>
                <w:b w:val="0"/>
                <w:bCs w:val="0"/>
                <w:color w:val="auto"/>
                <w:sz w:val="21"/>
                <w:szCs w:val="21"/>
                <w:u w:val="none"/>
                <w:lang w:val="en-US" w:eastAsia="zh-CN"/>
                <w:woUserID w:val="1"/>
              </w:rPr>
              <w:t>或省级2项以上为A</w:t>
            </w:r>
            <w:r>
              <w:rPr>
                <w:rFonts w:hint="eastAsia" w:ascii="仿宋" w:hAnsi="仿宋" w:eastAsia="仿宋" w:cs="仿宋"/>
                <w:b w:val="0"/>
                <w:bCs w:val="0"/>
                <w:color w:val="auto"/>
                <w:sz w:val="21"/>
                <w:szCs w:val="21"/>
                <w:u w:val="none"/>
                <w:lang w:val="en-US" w:eastAsia="zh-CN"/>
              </w:rPr>
              <w:t>；省级1个</w:t>
            </w:r>
            <w:r>
              <w:rPr>
                <w:rFonts w:hint="eastAsia" w:ascii="仿宋" w:hAnsi="仿宋" w:eastAsia="仿宋" w:cs="仿宋"/>
                <w:b w:val="0"/>
                <w:bCs w:val="0"/>
                <w:color w:val="auto"/>
                <w:sz w:val="21"/>
                <w:szCs w:val="21"/>
                <w:u w:val="none"/>
                <w:lang w:eastAsia="zh-CN"/>
                <w:woUserID w:val="1"/>
              </w:rPr>
              <w:t>为</w:t>
            </w:r>
            <w:r>
              <w:rPr>
                <w:rFonts w:hint="eastAsia" w:ascii="仿宋" w:hAnsi="仿宋" w:eastAsia="仿宋" w:cs="仿宋"/>
                <w:b w:val="0"/>
                <w:bCs w:val="0"/>
                <w:color w:val="auto"/>
                <w:sz w:val="21"/>
                <w:szCs w:val="21"/>
                <w:u w:val="none"/>
                <w:lang w:val="en-US" w:eastAsia="zh-CN"/>
              </w:rPr>
              <w:t>B；市级1个以上为C；其余不得分。</w:t>
            </w:r>
          </w:p>
        </w:tc>
        <w:tc>
          <w:tcPr>
            <w:tcW w:w="457" w:type="pct"/>
            <w:vMerge w:val="continue"/>
            <w:shd w:val="clear" w:color="auto" w:fill="auto"/>
            <w:vAlign w:val="center"/>
          </w:tcPr>
          <w:p w14:paraId="13B442AE">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lang w:val="en-US" w:eastAsia="zh-CN" w:bidi="ar-SA"/>
              </w:rPr>
            </w:pPr>
          </w:p>
        </w:tc>
      </w:tr>
      <w:tr w14:paraId="18D23277">
        <w:trPr>
          <w:trHeight w:val="216" w:hRule="atLeast"/>
        </w:trPr>
        <w:tc>
          <w:tcPr>
            <w:tcW w:w="432" w:type="pct"/>
            <w:vMerge w:val="restart"/>
            <w:vAlign w:val="center"/>
          </w:tcPr>
          <w:p w14:paraId="0D082396">
            <w:pPr>
              <w:keepNext w:val="0"/>
              <w:keepLines w:val="0"/>
              <w:pageBreakBefore w:val="0"/>
              <w:widowControl w:val="0"/>
              <w:kinsoku/>
              <w:wordWrap/>
              <w:overflowPunct/>
              <w:topLinePunct w:val="0"/>
              <w:autoSpaceDE/>
              <w:autoSpaceDN/>
              <w:bidi w:val="0"/>
              <w:adjustRightInd/>
              <w:snapToGrid/>
              <w:spacing w:line="440" w:lineRule="exact"/>
              <w:ind w:left="210" w:hanging="210" w:hangingChars="100"/>
              <w:jc w:val="left"/>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7.国际化办学</w:t>
            </w:r>
          </w:p>
          <w:p w14:paraId="62D18F8B">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 w:hAnsi="仿宋" w:eastAsia="仿宋" w:cs="仿宋"/>
                <w:b w:val="0"/>
                <w:bCs w:val="0"/>
                <w:color w:val="auto"/>
                <w:sz w:val="21"/>
                <w:szCs w:val="21"/>
                <w:u w:val="none"/>
                <w:lang w:eastAsia="zh-CN"/>
              </w:rPr>
            </w:pPr>
            <w:r>
              <w:rPr>
                <w:rFonts w:hint="eastAsia" w:ascii="仿宋" w:hAnsi="仿宋" w:eastAsia="仿宋" w:cs="仿宋"/>
                <w:b w:val="0"/>
                <w:bCs w:val="0"/>
                <w:color w:val="auto"/>
                <w:sz w:val="21"/>
                <w:szCs w:val="21"/>
                <w:u w:val="none"/>
                <w:lang w:val="en-US" w:eastAsia="zh-CN"/>
              </w:rPr>
              <w:t>（8分）</w:t>
            </w:r>
          </w:p>
        </w:tc>
        <w:tc>
          <w:tcPr>
            <w:tcW w:w="4567" w:type="pct"/>
            <w:gridSpan w:val="3"/>
            <w:vAlign w:val="center"/>
          </w:tcPr>
          <w:p w14:paraId="320FA8E6">
            <w:pPr>
              <w:keepNext w:val="0"/>
              <w:keepLines w:val="0"/>
              <w:pageBreakBefore w:val="0"/>
              <w:widowControl w:val="0"/>
              <w:kinsoku/>
              <w:wordWrap/>
              <w:overflowPunct/>
              <w:topLinePunct w:val="0"/>
              <w:autoSpaceDN/>
              <w:bidi w:val="0"/>
              <w:adjustRightInd/>
              <w:snapToGrid/>
              <w:spacing w:line="30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基础性指标</w:t>
            </w:r>
          </w:p>
        </w:tc>
      </w:tr>
      <w:tr w14:paraId="1ED19174">
        <w:trPr>
          <w:trHeight w:val="1153" w:hRule="atLeast"/>
        </w:trPr>
        <w:tc>
          <w:tcPr>
            <w:tcW w:w="432" w:type="pct"/>
            <w:vMerge w:val="continue"/>
            <w:vAlign w:val="center"/>
          </w:tcPr>
          <w:p w14:paraId="177993E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val="0"/>
                <w:bCs w:val="0"/>
                <w:color w:val="auto"/>
                <w:sz w:val="21"/>
                <w:szCs w:val="21"/>
                <w:u w:val="none"/>
                <w:lang w:val="en-US" w:eastAsia="zh-CN"/>
              </w:rPr>
            </w:pPr>
          </w:p>
        </w:tc>
        <w:tc>
          <w:tcPr>
            <w:tcW w:w="543" w:type="pct"/>
            <w:shd w:val="clear" w:color="auto" w:fill="auto"/>
            <w:vAlign w:val="center"/>
          </w:tcPr>
          <w:p w14:paraId="1B6EB9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师生国际交流</w:t>
            </w:r>
          </w:p>
          <w:p w14:paraId="1214FDA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（2分）</w:t>
            </w:r>
          </w:p>
        </w:tc>
        <w:tc>
          <w:tcPr>
            <w:tcW w:w="3566" w:type="pct"/>
            <w:shd w:val="clear" w:color="auto" w:fill="auto"/>
            <w:vAlign w:val="top"/>
          </w:tcPr>
          <w:p w14:paraId="669EAFBF">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rPr>
              <w:t>1.</w:t>
            </w:r>
            <w:r>
              <w:rPr>
                <w:rFonts w:hint="eastAsia" w:ascii="仿宋" w:hAnsi="仿宋" w:eastAsia="仿宋" w:cs="仿宋"/>
                <w:b w:val="0"/>
                <w:bCs w:val="0"/>
                <w:color w:val="auto"/>
                <w:sz w:val="21"/>
                <w:szCs w:val="21"/>
                <w:highlight w:val="none"/>
                <w:u w:val="none"/>
                <w:lang w:val="en-US"/>
              </w:rPr>
              <w:t>主办或承办国际学术会议、职业技能大赛、国际成果展、国际大学生节等重大国际交流合作活动</w:t>
            </w:r>
            <w:r>
              <w:rPr>
                <w:rFonts w:hint="eastAsia" w:ascii="仿宋" w:hAnsi="仿宋" w:eastAsia="仿宋" w:cs="仿宋"/>
                <w:b w:val="0"/>
                <w:bCs w:val="0"/>
                <w:color w:val="auto"/>
                <w:sz w:val="21"/>
                <w:szCs w:val="21"/>
                <w:highlight w:val="none"/>
                <w:u w:val="none"/>
                <w:lang w:val="en-US" w:eastAsia="zh-CN"/>
              </w:rPr>
              <w:t>；</w:t>
            </w:r>
          </w:p>
          <w:p w14:paraId="3F5320A9">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rPr>
              <w:t>2.</w:t>
            </w:r>
            <w:r>
              <w:rPr>
                <w:rFonts w:hint="eastAsia" w:ascii="仿宋" w:hAnsi="仿宋" w:eastAsia="仿宋" w:cs="仿宋"/>
                <w:b w:val="0"/>
                <w:bCs w:val="0"/>
                <w:color w:val="auto"/>
                <w:sz w:val="21"/>
                <w:szCs w:val="21"/>
                <w:highlight w:val="none"/>
                <w:u w:val="none"/>
                <w:lang w:val="en-US"/>
              </w:rPr>
              <w:t>建有挂牌或有协议的海外实习基地、外派国（境）外交流生</w:t>
            </w:r>
            <w:r>
              <w:rPr>
                <w:rFonts w:hint="eastAsia" w:ascii="仿宋" w:hAnsi="仿宋" w:eastAsia="仿宋" w:cs="仿宋"/>
                <w:b w:val="0"/>
                <w:bCs w:val="0"/>
                <w:color w:val="auto"/>
                <w:sz w:val="21"/>
                <w:szCs w:val="21"/>
                <w:highlight w:val="none"/>
                <w:u w:val="none"/>
                <w:lang w:val="en-US" w:eastAsia="zh-CN"/>
              </w:rPr>
              <w:t>或</w:t>
            </w:r>
            <w:r>
              <w:rPr>
                <w:rFonts w:hint="eastAsia" w:ascii="仿宋" w:hAnsi="仿宋" w:eastAsia="仿宋" w:cs="仿宋"/>
                <w:b w:val="0"/>
                <w:bCs w:val="0"/>
                <w:color w:val="auto"/>
                <w:sz w:val="21"/>
                <w:szCs w:val="21"/>
                <w:highlight w:val="none"/>
                <w:u w:val="none"/>
                <w:lang w:val="en-US"/>
              </w:rPr>
              <w:t>实习生10人及以上、师生国际竞赛获奖、派出师资到境外办学机构任教、专任教师国境外培训</w:t>
            </w:r>
            <w:r>
              <w:rPr>
                <w:rFonts w:hint="eastAsia" w:ascii="仿宋" w:hAnsi="仿宋" w:eastAsia="仿宋" w:cs="仿宋"/>
                <w:b w:val="0"/>
                <w:bCs w:val="0"/>
                <w:color w:val="auto"/>
                <w:sz w:val="21"/>
                <w:szCs w:val="21"/>
                <w:highlight w:val="none"/>
                <w:u w:val="none"/>
                <w:lang w:val="en-US" w:eastAsia="zh-CN"/>
              </w:rPr>
              <w:t>或</w:t>
            </w:r>
            <w:r>
              <w:rPr>
                <w:rFonts w:hint="eastAsia" w:ascii="仿宋" w:hAnsi="仿宋" w:eastAsia="仿宋" w:cs="仿宋"/>
                <w:b w:val="0"/>
                <w:bCs w:val="0"/>
                <w:color w:val="auto"/>
                <w:sz w:val="21"/>
                <w:szCs w:val="21"/>
                <w:highlight w:val="none"/>
                <w:u w:val="none"/>
                <w:lang w:val="en-US"/>
              </w:rPr>
              <w:t>访学三个月及以上</w:t>
            </w:r>
            <w:r>
              <w:rPr>
                <w:rFonts w:hint="eastAsia" w:ascii="仿宋" w:hAnsi="仿宋" w:eastAsia="仿宋" w:cs="仿宋"/>
                <w:b w:val="0"/>
                <w:bCs w:val="0"/>
                <w:color w:val="auto"/>
                <w:sz w:val="21"/>
                <w:szCs w:val="21"/>
                <w:highlight w:val="none"/>
                <w:u w:val="none"/>
                <w:lang w:val="en-US" w:eastAsia="zh-CN"/>
              </w:rPr>
              <w:t>；</w:t>
            </w:r>
          </w:p>
          <w:p w14:paraId="2C7678A4">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highlight w:val="none"/>
                <w:u w:val="none"/>
                <w:lang w:val="en-US" w:eastAsia="zh-CN"/>
              </w:rPr>
              <w:t>依据</w:t>
            </w:r>
            <w:r>
              <w:rPr>
                <w:rFonts w:hint="eastAsia" w:ascii="仿宋" w:hAnsi="仿宋" w:eastAsia="仿宋" w:cs="仿宋"/>
                <w:b w:val="0"/>
                <w:bCs w:val="0"/>
                <w:color w:val="auto"/>
                <w:sz w:val="21"/>
                <w:szCs w:val="21"/>
                <w:highlight w:val="none"/>
                <w:u w:val="none"/>
                <w:lang w:val="en-US"/>
              </w:rPr>
              <w:t>上述</w:t>
            </w:r>
            <w:r>
              <w:rPr>
                <w:rFonts w:hint="eastAsia" w:ascii="仿宋" w:hAnsi="仿宋" w:eastAsia="仿宋" w:cs="仿宋"/>
                <w:b w:val="0"/>
                <w:bCs w:val="0"/>
                <w:color w:val="auto"/>
                <w:sz w:val="21"/>
                <w:szCs w:val="21"/>
                <w:highlight w:val="none"/>
                <w:u w:val="none"/>
                <w:lang w:val="en-US" w:eastAsia="zh-CN"/>
              </w:rPr>
              <w:t>项目完成情况，按格次赋分法赋分，未参与不得分</w:t>
            </w:r>
            <w:r>
              <w:rPr>
                <w:rFonts w:hint="eastAsia" w:ascii="仿宋" w:hAnsi="仿宋" w:eastAsia="仿宋" w:cs="仿宋"/>
                <w:b w:val="0"/>
                <w:bCs w:val="0"/>
                <w:color w:val="auto"/>
                <w:sz w:val="21"/>
                <w:szCs w:val="21"/>
                <w:highlight w:val="none"/>
                <w:u w:val="none"/>
                <w:lang w:val="en-US"/>
              </w:rPr>
              <w:t>。</w:t>
            </w:r>
          </w:p>
        </w:tc>
        <w:tc>
          <w:tcPr>
            <w:tcW w:w="457" w:type="pct"/>
            <w:vMerge w:val="restart"/>
            <w:shd w:val="clear" w:color="auto" w:fill="auto"/>
            <w:vAlign w:val="center"/>
          </w:tcPr>
          <w:p w14:paraId="13D3C608">
            <w:pPr>
              <w:keepNext w:val="0"/>
              <w:keepLines w:val="0"/>
              <w:pageBreakBefore w:val="0"/>
              <w:widowControl w:val="0"/>
              <w:kinsoku/>
              <w:wordWrap/>
              <w:overflowPunct/>
              <w:topLinePunct w:val="0"/>
              <w:autoSpaceDN/>
              <w:bidi w:val="0"/>
              <w:adjustRightInd/>
              <w:snapToGrid/>
              <w:spacing w:line="22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国际交流合作处（港澳台办公室）</w:t>
            </w:r>
          </w:p>
          <w:p w14:paraId="782E051E">
            <w:pPr>
              <w:keepNext w:val="0"/>
              <w:keepLines w:val="0"/>
              <w:pageBreakBefore w:val="0"/>
              <w:widowControl w:val="0"/>
              <w:kinsoku/>
              <w:wordWrap/>
              <w:overflowPunct/>
              <w:topLinePunct w:val="0"/>
              <w:autoSpaceDN/>
              <w:bidi w:val="0"/>
              <w:adjustRightInd/>
              <w:snapToGrid/>
              <w:spacing w:line="280" w:lineRule="exact"/>
              <w:jc w:val="left"/>
              <w:textAlignment w:val="auto"/>
              <w:rPr>
                <w:rFonts w:hint="eastAsia" w:ascii="仿宋" w:hAnsi="仿宋" w:eastAsia="仿宋" w:cs="仿宋"/>
                <w:b w:val="0"/>
                <w:bCs w:val="0"/>
                <w:color w:val="auto"/>
                <w:sz w:val="21"/>
                <w:szCs w:val="21"/>
                <w:u w:val="none"/>
              </w:rPr>
            </w:pPr>
          </w:p>
        </w:tc>
      </w:tr>
      <w:tr w14:paraId="2E4AA0AF">
        <w:trPr>
          <w:trHeight w:val="1137" w:hRule="atLeast"/>
        </w:trPr>
        <w:tc>
          <w:tcPr>
            <w:tcW w:w="432" w:type="pct"/>
            <w:vMerge w:val="continue"/>
            <w:vAlign w:val="center"/>
          </w:tcPr>
          <w:p w14:paraId="29A6277F">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4F6F5FB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rPr>
              <w:t>国际产学研合作</w:t>
            </w:r>
            <w:r>
              <w:rPr>
                <w:rFonts w:hint="eastAsia" w:ascii="仿宋" w:hAnsi="仿宋" w:eastAsia="仿宋" w:cs="仿宋"/>
                <w:b w:val="0"/>
                <w:bCs w:val="0"/>
                <w:color w:val="auto"/>
                <w:sz w:val="21"/>
                <w:szCs w:val="21"/>
                <w:highlight w:val="none"/>
                <w:u w:val="none"/>
                <w:lang w:val="en-US" w:eastAsia="zh-CN"/>
              </w:rPr>
              <w:t>（3分）</w:t>
            </w:r>
          </w:p>
        </w:tc>
        <w:tc>
          <w:tcPr>
            <w:tcW w:w="3566" w:type="pct"/>
            <w:vAlign w:val="top"/>
          </w:tcPr>
          <w:p w14:paraId="5EA2E60B">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rPr>
              <w:t>1.</w:t>
            </w:r>
            <w:r>
              <w:rPr>
                <w:rFonts w:hint="eastAsia" w:ascii="仿宋" w:hAnsi="仿宋" w:eastAsia="仿宋" w:cs="仿宋"/>
                <w:b w:val="0"/>
                <w:bCs w:val="0"/>
                <w:color w:val="auto"/>
                <w:sz w:val="21"/>
                <w:szCs w:val="21"/>
                <w:highlight w:val="none"/>
                <w:u w:val="none"/>
                <w:lang w:val="en-US"/>
              </w:rPr>
              <w:t>建有国际合作研发平台、建有国际联合实验实训室、开展重大国际合作科研或研发项目2项及以上</w:t>
            </w:r>
            <w:r>
              <w:rPr>
                <w:rFonts w:hint="eastAsia" w:ascii="仿宋" w:hAnsi="仿宋" w:eastAsia="仿宋" w:cs="仿宋"/>
                <w:b w:val="0"/>
                <w:bCs w:val="0"/>
                <w:color w:val="auto"/>
                <w:sz w:val="21"/>
                <w:szCs w:val="21"/>
                <w:highlight w:val="none"/>
                <w:u w:val="none"/>
                <w:lang w:val="en-US" w:eastAsia="zh-CN"/>
              </w:rPr>
              <w:t>；</w:t>
            </w:r>
          </w:p>
          <w:p w14:paraId="558AF8BD">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rPr>
              <w:t>2.</w:t>
            </w:r>
            <w:r>
              <w:rPr>
                <w:rFonts w:hint="eastAsia" w:ascii="仿宋" w:hAnsi="仿宋" w:eastAsia="仿宋" w:cs="仿宋"/>
                <w:b w:val="0"/>
                <w:bCs w:val="0"/>
                <w:color w:val="auto"/>
                <w:sz w:val="21"/>
                <w:szCs w:val="21"/>
                <w:highlight w:val="none"/>
                <w:u w:val="none"/>
                <w:lang w:val="en-US"/>
              </w:rPr>
              <w:t>开展海外市场研究</w:t>
            </w:r>
            <w:r>
              <w:rPr>
                <w:rFonts w:hint="eastAsia" w:ascii="仿宋" w:hAnsi="仿宋" w:eastAsia="仿宋" w:cs="仿宋"/>
                <w:b w:val="0"/>
                <w:bCs w:val="0"/>
                <w:color w:val="auto"/>
                <w:sz w:val="21"/>
                <w:szCs w:val="21"/>
                <w:highlight w:val="none"/>
                <w:u w:val="none"/>
                <w:lang w:val="en-US" w:eastAsia="zh-CN"/>
              </w:rPr>
              <w:t>或</w:t>
            </w:r>
            <w:r>
              <w:rPr>
                <w:rFonts w:hint="eastAsia" w:ascii="仿宋" w:hAnsi="仿宋" w:eastAsia="仿宋" w:cs="仿宋"/>
                <w:b w:val="0"/>
                <w:bCs w:val="0"/>
                <w:color w:val="auto"/>
                <w:sz w:val="21"/>
                <w:szCs w:val="21"/>
                <w:highlight w:val="none"/>
                <w:u w:val="none"/>
                <w:lang w:val="en-US"/>
              </w:rPr>
              <w:t>国别研究（完成调研报告2个及以上并被采纳应用）、海外员工培训（50人及以上）、与企业共建海外工作站等服务企业“出海”</w:t>
            </w:r>
            <w:r>
              <w:rPr>
                <w:rFonts w:hint="eastAsia" w:ascii="仿宋" w:hAnsi="仿宋" w:eastAsia="仿宋" w:cs="仿宋"/>
                <w:b w:val="0"/>
                <w:bCs w:val="0"/>
                <w:color w:val="auto"/>
                <w:sz w:val="21"/>
                <w:szCs w:val="21"/>
                <w:highlight w:val="none"/>
                <w:u w:val="none"/>
                <w:lang w:val="en-US" w:eastAsia="zh-CN"/>
              </w:rPr>
              <w:t>；</w:t>
            </w:r>
          </w:p>
          <w:p w14:paraId="2B6EE2B4">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highlight w:val="none"/>
                <w:u w:val="none"/>
                <w:lang w:val="en-US" w:eastAsia="zh-CN"/>
              </w:rPr>
              <w:t>依据</w:t>
            </w:r>
            <w:r>
              <w:rPr>
                <w:rFonts w:hint="eastAsia" w:ascii="仿宋" w:hAnsi="仿宋" w:eastAsia="仿宋" w:cs="仿宋"/>
                <w:b w:val="0"/>
                <w:bCs w:val="0"/>
                <w:color w:val="auto"/>
                <w:sz w:val="21"/>
                <w:szCs w:val="21"/>
                <w:highlight w:val="none"/>
                <w:u w:val="none"/>
                <w:lang w:val="en-US"/>
              </w:rPr>
              <w:t>上述</w:t>
            </w:r>
            <w:r>
              <w:rPr>
                <w:rFonts w:hint="eastAsia" w:ascii="仿宋" w:hAnsi="仿宋" w:eastAsia="仿宋" w:cs="仿宋"/>
                <w:b w:val="0"/>
                <w:bCs w:val="0"/>
                <w:color w:val="auto"/>
                <w:sz w:val="21"/>
                <w:szCs w:val="21"/>
                <w:highlight w:val="none"/>
                <w:u w:val="none"/>
                <w:lang w:val="en-US" w:eastAsia="zh-CN"/>
              </w:rPr>
              <w:t>项目完成情况，按格次赋分法赋分，未参与不得分</w:t>
            </w:r>
            <w:r>
              <w:rPr>
                <w:rFonts w:hint="eastAsia" w:ascii="仿宋" w:hAnsi="仿宋" w:eastAsia="仿宋" w:cs="仿宋"/>
                <w:b w:val="0"/>
                <w:bCs w:val="0"/>
                <w:color w:val="auto"/>
                <w:sz w:val="21"/>
                <w:szCs w:val="21"/>
                <w:highlight w:val="none"/>
                <w:u w:val="none"/>
                <w:lang w:val="en-US"/>
              </w:rPr>
              <w:t>。</w:t>
            </w:r>
          </w:p>
        </w:tc>
        <w:tc>
          <w:tcPr>
            <w:tcW w:w="457" w:type="pct"/>
            <w:vMerge w:val="continue"/>
            <w:vAlign w:val="center"/>
          </w:tcPr>
          <w:p w14:paraId="2AEA16E5">
            <w:pPr>
              <w:keepNext w:val="0"/>
              <w:keepLines w:val="0"/>
              <w:pageBreakBefore w:val="0"/>
              <w:widowControl w:val="0"/>
              <w:kinsoku/>
              <w:wordWrap/>
              <w:overflowPunct/>
              <w:topLinePunct w:val="0"/>
              <w:autoSpaceDN/>
              <w:bidi w:val="0"/>
              <w:adjustRightInd/>
              <w:snapToGrid/>
              <w:spacing w:line="280" w:lineRule="exact"/>
              <w:jc w:val="left"/>
              <w:textAlignment w:val="auto"/>
              <w:rPr>
                <w:rFonts w:hint="eastAsia" w:ascii="仿宋" w:hAnsi="仿宋" w:eastAsia="仿宋" w:cs="仿宋"/>
                <w:b w:val="0"/>
                <w:bCs w:val="0"/>
                <w:color w:val="auto"/>
                <w:sz w:val="21"/>
                <w:szCs w:val="21"/>
                <w:u w:val="none"/>
              </w:rPr>
            </w:pPr>
          </w:p>
        </w:tc>
      </w:tr>
      <w:tr w14:paraId="4F66E307">
        <w:trPr>
          <w:trHeight w:val="90" w:hRule="atLeast"/>
        </w:trPr>
        <w:tc>
          <w:tcPr>
            <w:tcW w:w="432" w:type="pct"/>
            <w:vMerge w:val="continue"/>
            <w:vAlign w:val="center"/>
          </w:tcPr>
          <w:p w14:paraId="780CEA30">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500AC9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境外办学</w:t>
            </w:r>
          </w:p>
          <w:p w14:paraId="0293B3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（2分）</w:t>
            </w:r>
          </w:p>
        </w:tc>
        <w:tc>
          <w:tcPr>
            <w:tcW w:w="3566" w:type="pct"/>
            <w:vAlign w:val="top"/>
          </w:tcPr>
          <w:p w14:paraId="16858DE9">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rPr>
              <w:t>1.</w:t>
            </w:r>
            <w:r>
              <w:rPr>
                <w:rFonts w:hint="eastAsia" w:ascii="仿宋" w:hAnsi="仿宋" w:eastAsia="仿宋" w:cs="仿宋"/>
                <w:b w:val="0"/>
                <w:bCs w:val="0"/>
                <w:color w:val="auto"/>
                <w:sz w:val="21"/>
                <w:szCs w:val="21"/>
                <w:highlight w:val="none"/>
                <w:u w:val="none"/>
                <w:lang w:val="en-US"/>
              </w:rPr>
              <w:t>举办或承办“丝路学院”等境外办学机构、来华留学生实践基地/人文交流研学中心、“中文+技能”国际教育等项目</w:t>
            </w:r>
            <w:r>
              <w:rPr>
                <w:rFonts w:hint="eastAsia" w:ascii="仿宋" w:hAnsi="仿宋" w:eastAsia="仿宋" w:cs="仿宋"/>
                <w:b w:val="0"/>
                <w:bCs w:val="0"/>
                <w:color w:val="auto"/>
                <w:sz w:val="21"/>
                <w:szCs w:val="21"/>
                <w:highlight w:val="none"/>
                <w:u w:val="none"/>
                <w:lang w:val="en-US" w:eastAsia="zh-CN"/>
              </w:rPr>
              <w:t>；</w:t>
            </w:r>
          </w:p>
          <w:p w14:paraId="6AF503DC">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bCs/>
                <w:color w:val="auto"/>
                <w:sz w:val="21"/>
                <w:szCs w:val="21"/>
                <w:highlight w:val="none"/>
                <w:u w:val="none"/>
                <w:lang w:val="en-US"/>
              </w:rPr>
              <w:t>2.</w:t>
            </w:r>
            <w:r>
              <w:rPr>
                <w:rFonts w:hint="eastAsia" w:ascii="仿宋" w:hAnsi="仿宋" w:eastAsia="仿宋" w:cs="仿宋"/>
                <w:b w:val="0"/>
                <w:bCs w:val="0"/>
                <w:color w:val="auto"/>
                <w:sz w:val="21"/>
                <w:szCs w:val="21"/>
                <w:highlight w:val="none"/>
                <w:u w:val="none"/>
                <w:lang w:val="en-US"/>
              </w:rPr>
              <w:t>专业标准/职业标准/课程标准被国（境）外采纳并实际应用、招收培养来华留学生10人及以上、接待来华交流参访30人次及以上</w:t>
            </w:r>
            <w:r>
              <w:rPr>
                <w:rFonts w:hint="eastAsia" w:ascii="仿宋" w:hAnsi="仿宋" w:eastAsia="仿宋" w:cs="仿宋"/>
                <w:b w:val="0"/>
                <w:bCs w:val="0"/>
                <w:color w:val="auto"/>
                <w:sz w:val="21"/>
                <w:szCs w:val="21"/>
                <w:highlight w:val="none"/>
                <w:u w:val="none"/>
                <w:lang w:val="en-US" w:eastAsia="zh-CN"/>
              </w:rPr>
              <w:t>等项</w:t>
            </w:r>
          </w:p>
          <w:p w14:paraId="01F3FB31">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highlight w:val="none"/>
                <w:u w:val="none"/>
                <w:lang w:val="en-US" w:eastAsia="zh-CN"/>
              </w:rPr>
              <w:t>依据</w:t>
            </w:r>
            <w:r>
              <w:rPr>
                <w:rFonts w:hint="eastAsia" w:ascii="仿宋" w:hAnsi="仿宋" w:eastAsia="仿宋" w:cs="仿宋"/>
                <w:b w:val="0"/>
                <w:bCs w:val="0"/>
                <w:color w:val="auto"/>
                <w:sz w:val="21"/>
                <w:szCs w:val="21"/>
                <w:highlight w:val="none"/>
                <w:u w:val="none"/>
                <w:lang w:val="en-US"/>
              </w:rPr>
              <w:t>上述</w:t>
            </w:r>
            <w:r>
              <w:rPr>
                <w:rFonts w:hint="eastAsia" w:ascii="仿宋" w:hAnsi="仿宋" w:eastAsia="仿宋" w:cs="仿宋"/>
                <w:b w:val="0"/>
                <w:bCs w:val="0"/>
                <w:color w:val="auto"/>
                <w:sz w:val="21"/>
                <w:szCs w:val="21"/>
                <w:highlight w:val="none"/>
                <w:u w:val="none"/>
                <w:lang w:val="en-US" w:eastAsia="zh-CN"/>
              </w:rPr>
              <w:t>项目完成情况，按格次赋分法赋分，未参与不得分</w:t>
            </w:r>
            <w:r>
              <w:rPr>
                <w:rFonts w:hint="eastAsia" w:ascii="仿宋" w:hAnsi="仿宋" w:eastAsia="仿宋" w:cs="仿宋"/>
                <w:b w:val="0"/>
                <w:bCs w:val="0"/>
                <w:color w:val="auto"/>
                <w:sz w:val="21"/>
                <w:szCs w:val="21"/>
                <w:highlight w:val="none"/>
                <w:u w:val="none"/>
                <w:lang w:val="en-US"/>
              </w:rPr>
              <w:t>。</w:t>
            </w:r>
          </w:p>
        </w:tc>
        <w:tc>
          <w:tcPr>
            <w:tcW w:w="457" w:type="pct"/>
            <w:vMerge w:val="continue"/>
            <w:vAlign w:val="center"/>
          </w:tcPr>
          <w:p w14:paraId="209FC45B">
            <w:pPr>
              <w:keepNext w:val="0"/>
              <w:keepLines w:val="0"/>
              <w:pageBreakBefore w:val="0"/>
              <w:widowControl w:val="0"/>
              <w:kinsoku/>
              <w:wordWrap/>
              <w:overflowPunct/>
              <w:topLinePunct w:val="0"/>
              <w:autoSpaceDN/>
              <w:bidi w:val="0"/>
              <w:adjustRightInd/>
              <w:snapToGrid/>
              <w:spacing w:line="280" w:lineRule="exact"/>
              <w:jc w:val="left"/>
              <w:textAlignment w:val="auto"/>
              <w:rPr>
                <w:rFonts w:hint="eastAsia" w:ascii="仿宋" w:hAnsi="仿宋" w:eastAsia="仿宋" w:cs="仿宋"/>
                <w:b w:val="0"/>
                <w:bCs w:val="0"/>
                <w:color w:val="auto"/>
                <w:sz w:val="21"/>
                <w:szCs w:val="21"/>
                <w:u w:val="none"/>
              </w:rPr>
            </w:pPr>
          </w:p>
        </w:tc>
      </w:tr>
      <w:tr w14:paraId="738E273D">
        <w:trPr>
          <w:trHeight w:val="401" w:hRule="atLeast"/>
        </w:trPr>
        <w:tc>
          <w:tcPr>
            <w:tcW w:w="432" w:type="pct"/>
            <w:vMerge w:val="continue"/>
            <w:vAlign w:val="center"/>
          </w:tcPr>
          <w:p w14:paraId="4A6339CA">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219CE0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eastAsia="zh-CN"/>
              </w:rPr>
            </w:pPr>
            <w:r>
              <w:rPr>
                <w:rFonts w:hint="eastAsia" w:ascii="仿宋" w:hAnsi="仿宋" w:eastAsia="仿宋" w:cs="仿宋"/>
                <w:b w:val="0"/>
                <w:bCs w:val="0"/>
                <w:color w:val="auto"/>
                <w:sz w:val="21"/>
                <w:szCs w:val="21"/>
                <w:highlight w:val="none"/>
                <w:u w:val="none"/>
              </w:rPr>
              <w:t>国际化人才培养成效</w:t>
            </w:r>
            <w:r>
              <w:rPr>
                <w:rFonts w:hint="eastAsia" w:ascii="仿宋" w:hAnsi="仿宋" w:eastAsia="仿宋" w:cs="仿宋"/>
                <w:b w:val="0"/>
                <w:bCs w:val="0"/>
                <w:color w:val="auto"/>
                <w:sz w:val="21"/>
                <w:szCs w:val="21"/>
                <w:highlight w:val="none"/>
                <w:u w:val="none"/>
                <w:lang w:val="en-US" w:eastAsia="zh-CN"/>
              </w:rPr>
              <w:t>（1分）</w:t>
            </w:r>
          </w:p>
        </w:tc>
        <w:tc>
          <w:tcPr>
            <w:tcW w:w="3566" w:type="pct"/>
            <w:vAlign w:val="top"/>
          </w:tcPr>
          <w:p w14:paraId="573942BF">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举办中外合作办学机构/项目（或作为项目母体专业）、建有校级以上全英文或双语的“一带一路”职教慕课、建有全外语或双语授课课程10门及以上、获得“1+X国际证书”学生人数占比50%及以上、聘有外国文教专家等项目</w:t>
            </w:r>
          </w:p>
          <w:p w14:paraId="1AF569FE">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highlight w:val="none"/>
                <w:u w:val="none"/>
                <w:lang w:val="en-US"/>
              </w:rPr>
            </w:pPr>
            <w:r>
              <w:rPr>
                <w:rFonts w:hint="eastAsia" w:ascii="仿宋" w:hAnsi="仿宋" w:eastAsia="仿宋" w:cs="仿宋"/>
                <w:b w:val="0"/>
                <w:bCs w:val="0"/>
                <w:color w:val="auto"/>
                <w:sz w:val="21"/>
                <w:szCs w:val="21"/>
                <w:highlight w:val="none"/>
                <w:u w:val="none"/>
                <w:lang w:val="en-US" w:eastAsia="zh-CN"/>
              </w:rPr>
              <w:t>依据</w:t>
            </w:r>
            <w:r>
              <w:rPr>
                <w:rFonts w:hint="eastAsia" w:ascii="仿宋" w:hAnsi="仿宋" w:eastAsia="仿宋" w:cs="仿宋"/>
                <w:b w:val="0"/>
                <w:bCs w:val="0"/>
                <w:color w:val="auto"/>
                <w:sz w:val="21"/>
                <w:szCs w:val="21"/>
                <w:highlight w:val="none"/>
                <w:u w:val="none"/>
                <w:lang w:val="en-US"/>
              </w:rPr>
              <w:t>上述</w:t>
            </w:r>
            <w:r>
              <w:rPr>
                <w:rFonts w:hint="eastAsia" w:ascii="仿宋" w:hAnsi="仿宋" w:eastAsia="仿宋" w:cs="仿宋"/>
                <w:b w:val="0"/>
                <w:bCs w:val="0"/>
                <w:color w:val="auto"/>
                <w:sz w:val="21"/>
                <w:szCs w:val="21"/>
                <w:highlight w:val="none"/>
                <w:u w:val="none"/>
                <w:lang w:val="en-US" w:eastAsia="zh-CN"/>
              </w:rPr>
              <w:t>项目完成情况，按格次赋分法赋分，未参与不得分</w:t>
            </w:r>
            <w:r>
              <w:rPr>
                <w:rFonts w:hint="eastAsia" w:ascii="仿宋" w:hAnsi="仿宋" w:eastAsia="仿宋" w:cs="仿宋"/>
                <w:b w:val="0"/>
                <w:bCs w:val="0"/>
                <w:color w:val="auto"/>
                <w:sz w:val="21"/>
                <w:szCs w:val="21"/>
                <w:highlight w:val="none"/>
                <w:u w:val="none"/>
                <w:lang w:val="en-US"/>
              </w:rPr>
              <w:t>。</w:t>
            </w:r>
          </w:p>
          <w:p w14:paraId="5E0AAEC0">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highlight w:val="none"/>
                <w:u w:val="none"/>
                <w:lang w:val="en-US"/>
              </w:rPr>
            </w:pPr>
          </w:p>
          <w:p w14:paraId="0CE5D861">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highlight w:val="none"/>
                <w:u w:val="none"/>
                <w:lang w:val="en-US"/>
              </w:rPr>
            </w:pPr>
          </w:p>
        </w:tc>
        <w:tc>
          <w:tcPr>
            <w:tcW w:w="457" w:type="pct"/>
            <w:vMerge w:val="continue"/>
            <w:vAlign w:val="center"/>
          </w:tcPr>
          <w:p w14:paraId="5FD89A72">
            <w:pPr>
              <w:keepNext w:val="0"/>
              <w:keepLines w:val="0"/>
              <w:pageBreakBefore w:val="0"/>
              <w:widowControl w:val="0"/>
              <w:kinsoku/>
              <w:wordWrap/>
              <w:overflowPunct/>
              <w:topLinePunct w:val="0"/>
              <w:autoSpaceDN/>
              <w:bidi w:val="0"/>
              <w:adjustRightInd/>
              <w:snapToGrid/>
              <w:spacing w:line="280" w:lineRule="exact"/>
              <w:jc w:val="left"/>
              <w:textAlignment w:val="auto"/>
              <w:rPr>
                <w:rFonts w:hint="eastAsia" w:ascii="仿宋" w:hAnsi="仿宋" w:eastAsia="仿宋" w:cs="仿宋"/>
                <w:b w:val="0"/>
                <w:bCs w:val="0"/>
                <w:color w:val="auto"/>
                <w:sz w:val="21"/>
                <w:szCs w:val="21"/>
                <w:u w:val="none"/>
              </w:rPr>
            </w:pPr>
          </w:p>
        </w:tc>
      </w:tr>
      <w:tr w14:paraId="758E0D8B">
        <w:trPr>
          <w:trHeight w:val="90" w:hRule="atLeast"/>
        </w:trPr>
        <w:tc>
          <w:tcPr>
            <w:tcW w:w="432" w:type="pct"/>
            <w:vMerge w:val="restart"/>
            <w:vAlign w:val="center"/>
          </w:tcPr>
          <w:p w14:paraId="625C023F">
            <w:pPr>
              <w:keepNext w:val="0"/>
              <w:keepLines w:val="0"/>
              <w:pageBreakBefore w:val="0"/>
              <w:widowControl w:val="0"/>
              <w:kinsoku/>
              <w:wordWrap/>
              <w:overflowPunct/>
              <w:topLinePunct w:val="0"/>
              <w:autoSpaceDE/>
              <w:autoSpaceDN/>
              <w:bidi w:val="0"/>
              <w:adjustRightInd/>
              <w:snapToGrid/>
              <w:spacing w:line="440" w:lineRule="atLeast"/>
              <w:jc w:val="center"/>
              <w:textAlignment w:val="auto"/>
              <w:rPr>
                <w:rFonts w:hint="eastAsia" w:ascii="仿宋" w:hAnsi="仿宋" w:eastAsia="仿宋" w:cs="仿宋"/>
                <w:b w:val="0"/>
                <w:bCs w:val="0"/>
                <w:color w:val="auto"/>
                <w:sz w:val="21"/>
                <w:szCs w:val="21"/>
                <w:u w:val="none"/>
                <w:lang w:val="en-US" w:eastAsia="zh-CN"/>
              </w:rPr>
            </w:pPr>
          </w:p>
          <w:p w14:paraId="62664257">
            <w:pPr>
              <w:keepNext w:val="0"/>
              <w:keepLines w:val="0"/>
              <w:pageBreakBefore w:val="0"/>
              <w:widowControl w:val="0"/>
              <w:numPr>
                <w:ilvl w:val="0"/>
                <w:numId w:val="0"/>
              </w:numPr>
              <w:kinsoku/>
              <w:wordWrap/>
              <w:overflowPunct/>
              <w:topLinePunct w:val="0"/>
              <w:autoSpaceDE/>
              <w:autoSpaceDN/>
              <w:bidi w:val="0"/>
              <w:adjustRightInd/>
              <w:snapToGrid/>
              <w:spacing w:line="440" w:lineRule="atLeas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8.综合</w:t>
            </w:r>
          </w:p>
          <w:p w14:paraId="38865FA1">
            <w:pPr>
              <w:keepNext w:val="0"/>
              <w:keepLines w:val="0"/>
              <w:pageBreakBefore w:val="0"/>
              <w:widowControl w:val="0"/>
              <w:numPr>
                <w:ilvl w:val="0"/>
                <w:numId w:val="0"/>
              </w:numPr>
              <w:kinsoku/>
              <w:wordWrap/>
              <w:overflowPunct/>
              <w:topLinePunct w:val="0"/>
              <w:autoSpaceDE/>
              <w:autoSpaceDN/>
              <w:bidi w:val="0"/>
              <w:adjustRightInd/>
              <w:snapToGrid/>
              <w:spacing w:line="440" w:lineRule="atLeast"/>
              <w:ind w:firstLine="0" w:firstLineChars="0"/>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管理</w:t>
            </w:r>
          </w:p>
          <w:p w14:paraId="6DE43F65">
            <w:pPr>
              <w:keepNext w:val="0"/>
              <w:keepLines w:val="0"/>
              <w:pageBreakBefore w:val="0"/>
              <w:widowControl w:val="0"/>
              <w:numPr>
                <w:ilvl w:val="0"/>
                <w:numId w:val="0"/>
              </w:numPr>
              <w:kinsoku/>
              <w:wordWrap/>
              <w:overflowPunct/>
              <w:topLinePunct w:val="0"/>
              <w:autoSpaceDE/>
              <w:autoSpaceDN/>
              <w:bidi w:val="0"/>
              <w:adjustRightInd/>
              <w:snapToGrid/>
              <w:spacing w:line="440" w:lineRule="atLeast"/>
              <w:ind w:firstLine="0" w:firstLineChars="0"/>
              <w:jc w:val="center"/>
              <w:textAlignment w:val="auto"/>
              <w:rPr>
                <w:rFonts w:hint="eastAsia" w:ascii="仿宋" w:hAnsi="仿宋" w:eastAsia="仿宋" w:cs="仿宋"/>
                <w:b w:val="0"/>
                <w:bCs w:val="0"/>
                <w:color w:val="auto"/>
                <w:sz w:val="21"/>
                <w:szCs w:val="21"/>
                <w:u w:val="none"/>
                <w:lang w:eastAsia="zh-CN"/>
              </w:rPr>
            </w:pPr>
            <w:r>
              <w:rPr>
                <w:rFonts w:hint="eastAsia" w:ascii="仿宋" w:hAnsi="仿宋" w:eastAsia="仿宋" w:cs="仿宋"/>
                <w:b w:val="0"/>
                <w:bCs w:val="0"/>
                <w:color w:val="auto"/>
                <w:sz w:val="21"/>
                <w:szCs w:val="21"/>
                <w:u w:val="none"/>
                <w:lang w:val="en-US" w:eastAsia="zh-CN"/>
              </w:rPr>
              <w:t>（11分）</w:t>
            </w:r>
          </w:p>
        </w:tc>
        <w:tc>
          <w:tcPr>
            <w:tcW w:w="4567" w:type="pct"/>
            <w:gridSpan w:val="3"/>
            <w:vAlign w:val="center"/>
          </w:tcPr>
          <w:p w14:paraId="0A52BB6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基础性指标</w:t>
            </w:r>
          </w:p>
        </w:tc>
      </w:tr>
      <w:tr w14:paraId="7CA21CA7">
        <w:trPr>
          <w:trHeight w:val="90" w:hRule="atLeast"/>
        </w:trPr>
        <w:tc>
          <w:tcPr>
            <w:tcW w:w="432" w:type="pct"/>
            <w:vMerge w:val="continue"/>
            <w:vAlign w:val="center"/>
          </w:tcPr>
          <w:p w14:paraId="3C396B0B">
            <w:pPr>
              <w:keepNext w:val="0"/>
              <w:keepLines w:val="0"/>
              <w:pageBreakBefore w:val="0"/>
              <w:widowControl w:val="0"/>
              <w:kinsoku/>
              <w:wordWrap/>
              <w:overflowPunct/>
              <w:topLinePunct w:val="0"/>
              <w:autoSpaceDE/>
              <w:autoSpaceDN/>
              <w:bidi w:val="0"/>
              <w:adjustRightInd/>
              <w:snapToGrid/>
              <w:spacing w:line="440" w:lineRule="atLeast"/>
              <w:jc w:val="center"/>
              <w:textAlignment w:val="auto"/>
              <w:rPr>
                <w:rFonts w:hint="eastAsia" w:ascii="仿宋" w:hAnsi="仿宋" w:eastAsia="仿宋" w:cs="仿宋"/>
                <w:b w:val="0"/>
                <w:bCs w:val="0"/>
                <w:color w:val="auto"/>
                <w:sz w:val="21"/>
                <w:szCs w:val="21"/>
                <w:u w:val="none"/>
                <w:lang w:val="en-US" w:eastAsia="zh-CN"/>
              </w:rPr>
            </w:pPr>
          </w:p>
        </w:tc>
        <w:tc>
          <w:tcPr>
            <w:tcW w:w="543" w:type="pct"/>
            <w:shd w:val="clear" w:color="auto" w:fill="auto"/>
            <w:vAlign w:val="center"/>
          </w:tcPr>
          <w:p w14:paraId="5EAC5C9F">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rPr>
              <w:t>工作效能及年度计划执行情况</w:t>
            </w:r>
            <w:r>
              <w:rPr>
                <w:rFonts w:hint="eastAsia" w:ascii="仿宋" w:hAnsi="仿宋" w:eastAsia="仿宋" w:cs="仿宋"/>
                <w:b w:val="0"/>
                <w:bCs w:val="0"/>
                <w:color w:val="auto"/>
                <w:sz w:val="21"/>
                <w:szCs w:val="21"/>
                <w:highlight w:val="none"/>
                <w:u w:val="none"/>
                <w:lang w:val="en-US" w:eastAsia="zh-CN"/>
              </w:rPr>
              <w:t>（1分）</w:t>
            </w:r>
          </w:p>
        </w:tc>
        <w:tc>
          <w:tcPr>
            <w:tcW w:w="3566" w:type="pct"/>
            <w:shd w:val="clear" w:color="auto" w:fill="auto"/>
            <w:vAlign w:val="center"/>
          </w:tcPr>
          <w:p w14:paraId="29AA9E0F">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lang w:val="en-US" w:eastAsia="zh-CN"/>
              </w:rPr>
              <w:t>依据年度工作过程材料、工作任务执行完成率等内容，按格次赋分法赋分。</w:t>
            </w:r>
          </w:p>
        </w:tc>
        <w:tc>
          <w:tcPr>
            <w:tcW w:w="457" w:type="pct"/>
            <w:shd w:val="clear" w:color="auto" w:fill="auto"/>
            <w:vAlign w:val="center"/>
          </w:tcPr>
          <w:p w14:paraId="6235EB9B">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rPr>
              <w:t>办公室（巡察办公室）</w:t>
            </w:r>
          </w:p>
        </w:tc>
      </w:tr>
      <w:tr w14:paraId="4514B810">
        <w:trPr>
          <w:trHeight w:val="90" w:hRule="atLeast"/>
        </w:trPr>
        <w:tc>
          <w:tcPr>
            <w:tcW w:w="432" w:type="pct"/>
            <w:vMerge w:val="continue"/>
            <w:vAlign w:val="center"/>
          </w:tcPr>
          <w:p w14:paraId="211A89EB">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76CE9279">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rPr>
              <w:t>财务执行与资产管理</w:t>
            </w:r>
            <w:r>
              <w:rPr>
                <w:rFonts w:hint="eastAsia" w:ascii="仿宋" w:hAnsi="仿宋" w:eastAsia="仿宋" w:cs="仿宋"/>
                <w:b w:val="0"/>
                <w:bCs w:val="0"/>
                <w:color w:val="auto"/>
                <w:sz w:val="21"/>
                <w:szCs w:val="21"/>
                <w:highlight w:val="none"/>
                <w:u w:val="none"/>
                <w:lang w:val="en-US" w:eastAsia="zh-CN"/>
              </w:rPr>
              <w:t>（1分）</w:t>
            </w:r>
          </w:p>
        </w:tc>
        <w:tc>
          <w:tcPr>
            <w:tcW w:w="3566" w:type="pct"/>
            <w:vAlign w:val="center"/>
          </w:tcPr>
          <w:p w14:paraId="14792EE1">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1.</w:t>
            </w:r>
            <w:r>
              <w:rPr>
                <w:rFonts w:hint="eastAsia" w:ascii="仿宋" w:hAnsi="仿宋" w:eastAsia="仿宋" w:cs="仿宋"/>
                <w:b w:val="0"/>
                <w:bCs w:val="0"/>
                <w:color w:val="auto"/>
                <w:sz w:val="21"/>
                <w:szCs w:val="21"/>
                <w:u w:val="none"/>
                <w:lang w:val="en-US" w:eastAsia="zh-CN"/>
              </w:rPr>
              <w:t>在承接财政专项资金项目过程中，资金执行进度未达到学校要求、使用绩效低下的，每项扣0.5分。</w:t>
            </w:r>
            <w:r>
              <w:rPr>
                <w:rFonts w:hint="eastAsia" w:ascii="仿宋" w:hAnsi="仿宋" w:eastAsia="仿宋" w:cs="仿宋"/>
                <w:b w:val="0"/>
                <w:bCs w:val="0"/>
                <w:color w:val="auto"/>
                <w:sz w:val="21"/>
                <w:szCs w:val="21"/>
                <w:u w:val="none"/>
                <w:lang w:val="en-US" w:eastAsia="zh-CN"/>
              </w:rPr>
              <w:br w:type="textWrapping"/>
            </w:r>
            <w:r>
              <w:rPr>
                <w:rFonts w:hint="eastAsia" w:ascii="仿宋" w:hAnsi="仿宋" w:eastAsia="仿宋" w:cs="仿宋"/>
                <w:b/>
                <w:bCs/>
                <w:color w:val="auto"/>
                <w:sz w:val="21"/>
                <w:szCs w:val="21"/>
                <w:u w:val="none"/>
                <w:lang w:val="en-US" w:eastAsia="zh-CN"/>
              </w:rPr>
              <w:t>2.</w:t>
            </w:r>
            <w:r>
              <w:rPr>
                <w:rFonts w:hint="eastAsia" w:ascii="仿宋" w:hAnsi="仿宋" w:eastAsia="仿宋" w:cs="仿宋"/>
                <w:b w:val="0"/>
                <w:bCs w:val="0"/>
                <w:color w:val="auto"/>
                <w:sz w:val="21"/>
                <w:szCs w:val="21"/>
                <w:u w:val="none"/>
                <w:lang w:val="en-US" w:eastAsia="zh-CN"/>
              </w:rPr>
              <w:t>在资产管理、采购管理及财经政策执行过程中，出现工作不到位等责任事件，每次扣0.5分。</w:t>
            </w:r>
            <w:r>
              <w:rPr>
                <w:rFonts w:hint="eastAsia" w:ascii="仿宋" w:hAnsi="仿宋" w:eastAsia="仿宋" w:cs="仿宋"/>
                <w:b w:val="0"/>
                <w:bCs w:val="0"/>
                <w:color w:val="auto"/>
                <w:sz w:val="21"/>
                <w:szCs w:val="21"/>
                <w:u w:val="none"/>
                <w:lang w:val="en-US" w:eastAsia="zh-CN"/>
              </w:rPr>
              <w:br w:type="textWrapping"/>
            </w:r>
            <w:r>
              <w:rPr>
                <w:rFonts w:hint="eastAsia" w:ascii="仿宋" w:hAnsi="仿宋" w:eastAsia="仿宋" w:cs="仿宋"/>
                <w:b/>
                <w:bCs/>
                <w:color w:val="auto"/>
                <w:sz w:val="21"/>
                <w:szCs w:val="21"/>
                <w:u w:val="none"/>
                <w:lang w:val="en-US" w:eastAsia="zh-CN"/>
              </w:rPr>
              <w:t>3.</w:t>
            </w:r>
            <w:r>
              <w:rPr>
                <w:rFonts w:hint="eastAsia" w:ascii="仿宋" w:hAnsi="仿宋" w:eastAsia="仿宋" w:cs="仿宋"/>
                <w:b w:val="0"/>
                <w:bCs w:val="0"/>
                <w:color w:val="auto"/>
                <w:sz w:val="21"/>
                <w:szCs w:val="21"/>
                <w:u w:val="none"/>
                <w:lang w:val="en-US" w:eastAsia="zh-CN"/>
              </w:rPr>
              <w:t>校内预算资金执行过程中，出现脱离学校中心工作，造成铺张浪费，每次扣0.5分。</w:t>
            </w:r>
            <w:r>
              <w:rPr>
                <w:rFonts w:hint="eastAsia" w:ascii="仿宋" w:hAnsi="仿宋" w:eastAsia="仿宋" w:cs="仿宋"/>
                <w:b w:val="0"/>
                <w:bCs w:val="0"/>
                <w:color w:val="auto"/>
                <w:sz w:val="21"/>
                <w:szCs w:val="21"/>
                <w:u w:val="none"/>
                <w:lang w:val="en-US" w:eastAsia="zh-CN"/>
              </w:rPr>
              <w:br w:type="textWrapping"/>
            </w:r>
            <w:r>
              <w:rPr>
                <w:rFonts w:hint="eastAsia" w:ascii="仿宋" w:hAnsi="仿宋" w:eastAsia="仿宋" w:cs="仿宋"/>
                <w:b w:val="0"/>
                <w:bCs w:val="0"/>
                <w:color w:val="auto"/>
                <w:sz w:val="21"/>
                <w:szCs w:val="21"/>
                <w:u w:val="none"/>
                <w:lang w:val="en-US" w:eastAsia="zh-CN"/>
              </w:rPr>
              <w:t>以上扣分项目扣完为止。</w:t>
            </w:r>
          </w:p>
        </w:tc>
        <w:tc>
          <w:tcPr>
            <w:tcW w:w="457" w:type="pct"/>
            <w:vAlign w:val="center"/>
          </w:tcPr>
          <w:p w14:paraId="2308985B">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计划财务处（资产管理处）</w:t>
            </w:r>
          </w:p>
        </w:tc>
      </w:tr>
      <w:tr w14:paraId="016C7D1B">
        <w:trPr>
          <w:trHeight w:val="530" w:hRule="atLeast"/>
        </w:trPr>
        <w:tc>
          <w:tcPr>
            <w:tcW w:w="432" w:type="pct"/>
            <w:vMerge w:val="continue"/>
            <w:vAlign w:val="center"/>
          </w:tcPr>
          <w:p w14:paraId="1236DBFA">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073B1CF6">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rPr>
              <w:t>质量评价与督导</w:t>
            </w:r>
            <w:r>
              <w:rPr>
                <w:rFonts w:hint="eastAsia" w:ascii="仿宋" w:hAnsi="仿宋" w:eastAsia="仿宋" w:cs="仿宋"/>
                <w:b w:val="0"/>
                <w:bCs w:val="0"/>
                <w:color w:val="auto"/>
                <w:sz w:val="21"/>
                <w:szCs w:val="21"/>
                <w:highlight w:val="none"/>
                <w:u w:val="none"/>
                <w:lang w:val="en-US" w:eastAsia="zh-CN"/>
              </w:rPr>
              <w:t>（2分）</w:t>
            </w:r>
          </w:p>
        </w:tc>
        <w:tc>
          <w:tcPr>
            <w:tcW w:w="3566" w:type="pct"/>
            <w:vAlign w:val="center"/>
          </w:tcPr>
          <w:p w14:paraId="44991BBA">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依据年度教学督导听课和内部质量保证体系执行情况，按格次赋分法赋分。</w:t>
            </w:r>
          </w:p>
        </w:tc>
        <w:tc>
          <w:tcPr>
            <w:tcW w:w="457" w:type="pct"/>
            <w:vAlign w:val="center"/>
          </w:tcPr>
          <w:p w14:paraId="20FC3D74">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质量管理办公室（督导办公室）</w:t>
            </w:r>
          </w:p>
        </w:tc>
      </w:tr>
      <w:tr w14:paraId="55A38EB0">
        <w:trPr>
          <w:trHeight w:val="90" w:hRule="atLeast"/>
        </w:trPr>
        <w:tc>
          <w:tcPr>
            <w:tcW w:w="432" w:type="pct"/>
            <w:vMerge w:val="continue"/>
            <w:vAlign w:val="center"/>
          </w:tcPr>
          <w:p w14:paraId="5DBCC67F">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vAlign w:val="center"/>
          </w:tcPr>
          <w:p w14:paraId="54156F3F">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校园安全稳定</w:t>
            </w:r>
          </w:p>
          <w:p w14:paraId="7BDF0548">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（4分）</w:t>
            </w:r>
          </w:p>
        </w:tc>
        <w:tc>
          <w:tcPr>
            <w:tcW w:w="3566" w:type="pct"/>
            <w:shd w:val="clear" w:color="auto" w:fill="auto"/>
            <w:vAlign w:val="center"/>
          </w:tcPr>
          <w:p w14:paraId="59D28BA3">
            <w:pPr>
              <w:keepNext w:val="0"/>
              <w:keepLines w:val="0"/>
              <w:pageBreakBefore w:val="0"/>
              <w:widowControl w:val="0"/>
              <w:kinsoku/>
              <w:wordWrap/>
              <w:overflowPunct/>
              <w:topLinePunct w:val="0"/>
              <w:autoSpaceDN/>
              <w:bidi w:val="0"/>
              <w:adjustRightInd/>
              <w:snapToGrid/>
              <w:spacing w:line="30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lang w:val="en-US" w:eastAsia="zh-CN"/>
              </w:rPr>
              <w:t>依据校园安全稳定主体责任和综治、交通、消防管理责任等落实情况，按格次赋分法赋分。</w:t>
            </w:r>
          </w:p>
        </w:tc>
        <w:tc>
          <w:tcPr>
            <w:tcW w:w="457" w:type="pct"/>
            <w:vAlign w:val="center"/>
          </w:tcPr>
          <w:p w14:paraId="5FD20A0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lang w:val="en-US" w:eastAsia="zh-CN"/>
              </w:rPr>
              <w:t>安保部</w:t>
            </w:r>
            <w:r>
              <w:rPr>
                <w:rFonts w:hint="eastAsia" w:ascii="仿宋" w:hAnsi="仿宋" w:eastAsia="仿宋" w:cs="仿宋"/>
                <w:b w:val="0"/>
                <w:bCs w:val="0"/>
                <w:color w:val="auto"/>
                <w:sz w:val="21"/>
                <w:szCs w:val="21"/>
                <w:u w:val="none"/>
              </w:rPr>
              <w:t>（人武部）</w:t>
            </w:r>
          </w:p>
        </w:tc>
      </w:tr>
      <w:tr w14:paraId="33D5AC5C">
        <w:trPr>
          <w:trHeight w:val="953" w:hRule="atLeast"/>
        </w:trPr>
        <w:tc>
          <w:tcPr>
            <w:tcW w:w="432" w:type="pct"/>
            <w:vMerge w:val="continue"/>
            <w:vAlign w:val="center"/>
          </w:tcPr>
          <w:p w14:paraId="6907FBEC">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543" w:type="pct"/>
            <w:shd w:val="clear" w:color="auto" w:fill="auto"/>
            <w:vAlign w:val="center"/>
          </w:tcPr>
          <w:p w14:paraId="1F6AB89D">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rPr>
            </w:pPr>
            <w:r>
              <w:rPr>
                <w:rFonts w:hint="eastAsia" w:ascii="仿宋" w:hAnsi="仿宋" w:eastAsia="仿宋" w:cs="仿宋"/>
                <w:b w:val="0"/>
                <w:bCs w:val="0"/>
                <w:color w:val="auto"/>
                <w:sz w:val="21"/>
                <w:szCs w:val="21"/>
                <w:highlight w:val="none"/>
                <w:u w:val="none"/>
                <w:lang w:val="en-US" w:eastAsia="zh-CN"/>
              </w:rPr>
              <w:t>数字化改革</w:t>
            </w:r>
          </w:p>
          <w:p w14:paraId="37940A5D">
            <w:pPr>
              <w:keepNext w:val="0"/>
              <w:keepLines w:val="0"/>
              <w:pageBreakBefore w:val="0"/>
              <w:widowControl w:val="0"/>
              <w:kinsoku/>
              <w:wordWrap/>
              <w:overflowPunct/>
              <w:topLinePunct w:val="0"/>
              <w:autoSpaceDN/>
              <w:bidi w:val="0"/>
              <w:adjustRightInd/>
              <w:snapToGrid/>
              <w:spacing w:line="240" w:lineRule="exact"/>
              <w:jc w:val="center"/>
              <w:textAlignment w:val="auto"/>
              <w:rPr>
                <w:rFonts w:hint="eastAsia" w:ascii="仿宋" w:hAnsi="仿宋" w:eastAsia="仿宋" w:cs="仿宋"/>
                <w:b w:val="0"/>
                <w:bCs w:val="0"/>
                <w:color w:val="auto"/>
                <w:sz w:val="21"/>
                <w:szCs w:val="21"/>
                <w:highlight w:val="none"/>
                <w:u w:val="none"/>
                <w:lang w:val="en-US" w:eastAsia="zh-CN" w:bidi="ar-SA"/>
              </w:rPr>
            </w:pPr>
            <w:r>
              <w:rPr>
                <w:rFonts w:hint="eastAsia" w:ascii="仿宋" w:hAnsi="仿宋" w:eastAsia="仿宋" w:cs="仿宋"/>
                <w:b w:val="0"/>
                <w:bCs w:val="0"/>
                <w:color w:val="auto"/>
                <w:sz w:val="21"/>
                <w:szCs w:val="21"/>
                <w:highlight w:val="none"/>
                <w:u w:val="none"/>
                <w:lang w:val="en-US" w:eastAsia="zh-CN"/>
              </w:rPr>
              <w:t>（1.5分）</w:t>
            </w:r>
          </w:p>
        </w:tc>
        <w:tc>
          <w:tcPr>
            <w:tcW w:w="3566" w:type="pct"/>
            <w:shd w:val="clear" w:color="auto" w:fill="auto"/>
            <w:vAlign w:val="center"/>
          </w:tcPr>
          <w:p w14:paraId="24E1C465">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w w:val="97"/>
                <w:sz w:val="21"/>
                <w:szCs w:val="21"/>
                <w:highlight w:val="none"/>
                <w:u w:val="none"/>
              </w:rPr>
            </w:pPr>
            <w:r>
              <w:rPr>
                <w:rFonts w:hint="eastAsia" w:ascii="仿宋" w:hAnsi="仿宋" w:eastAsia="仿宋" w:cs="仿宋"/>
                <w:b/>
                <w:bCs/>
                <w:color w:val="auto"/>
                <w:w w:val="97"/>
                <w:sz w:val="21"/>
                <w:szCs w:val="21"/>
                <w:highlight w:val="none"/>
                <w:u w:val="none"/>
                <w:lang w:val="en-US" w:eastAsia="zh-CN"/>
              </w:rPr>
              <w:t>1.</w:t>
            </w:r>
            <w:r>
              <w:rPr>
                <w:rFonts w:hint="eastAsia" w:ascii="仿宋" w:hAnsi="仿宋" w:eastAsia="仿宋" w:cs="仿宋"/>
                <w:b w:val="0"/>
                <w:bCs w:val="0"/>
                <w:color w:val="auto"/>
                <w:w w:val="97"/>
                <w:sz w:val="21"/>
                <w:szCs w:val="21"/>
                <w:highlight w:val="none"/>
                <w:u w:val="none"/>
                <w:lang w:val="en-US" w:eastAsia="zh-CN"/>
              </w:rPr>
              <w:t>面向师生组织开展数字素养和能力提升专题培训，面向教师开展0.2分/次，面向学生开展0.3分/次，</w:t>
            </w:r>
            <w:r>
              <w:rPr>
                <w:rFonts w:hint="eastAsia" w:ascii="仿宋" w:hAnsi="仿宋" w:eastAsia="仿宋" w:cs="仿宋"/>
                <w:b w:val="0"/>
                <w:bCs w:val="0"/>
                <w:color w:val="auto"/>
                <w:sz w:val="21"/>
                <w:szCs w:val="21"/>
                <w:u w:val="none"/>
              </w:rPr>
              <w:t>累计不超过</w:t>
            </w:r>
            <w:r>
              <w:rPr>
                <w:rFonts w:hint="eastAsia" w:ascii="仿宋" w:hAnsi="仿宋" w:eastAsia="仿宋" w:cs="仿宋"/>
                <w:b w:val="0"/>
                <w:bCs w:val="0"/>
                <w:color w:val="auto"/>
                <w:sz w:val="21"/>
                <w:szCs w:val="21"/>
                <w:u w:val="none"/>
                <w:lang w:val="en-US" w:eastAsia="zh-CN"/>
              </w:rPr>
              <w:t>0.5</w:t>
            </w:r>
            <w:r>
              <w:rPr>
                <w:rFonts w:hint="eastAsia" w:ascii="仿宋" w:hAnsi="仿宋" w:eastAsia="仿宋" w:cs="仿宋"/>
                <w:b w:val="0"/>
                <w:bCs w:val="0"/>
                <w:color w:val="auto"/>
                <w:sz w:val="21"/>
                <w:szCs w:val="21"/>
                <w:highlight w:val="none"/>
                <w:u w:val="none"/>
                <w:lang w:val="en-US" w:eastAsia="zh-CN"/>
              </w:rPr>
              <w:t>分</w:t>
            </w:r>
            <w:r>
              <w:rPr>
                <w:rFonts w:hint="eastAsia" w:ascii="仿宋" w:hAnsi="仿宋" w:eastAsia="仿宋" w:cs="仿宋"/>
                <w:b w:val="0"/>
                <w:bCs w:val="0"/>
                <w:color w:val="auto"/>
                <w:w w:val="97"/>
                <w:sz w:val="21"/>
                <w:szCs w:val="21"/>
                <w:highlight w:val="none"/>
                <w:u w:val="none"/>
                <w:lang w:val="en-US" w:eastAsia="zh-CN"/>
              </w:rPr>
              <w:t>。</w:t>
            </w:r>
          </w:p>
          <w:p w14:paraId="0536EDA3">
            <w:pPr>
              <w:keepNext w:val="0"/>
              <w:keepLines w:val="0"/>
              <w:pageBreakBefore w:val="0"/>
              <w:widowControl w:val="0"/>
              <w:kinsoku/>
              <w:wordWrap/>
              <w:overflowPunct/>
              <w:topLinePunct w:val="0"/>
              <w:autoSpaceDN/>
              <w:bidi w:val="0"/>
              <w:adjustRightInd/>
              <w:snapToGrid/>
              <w:spacing w:line="300" w:lineRule="exact"/>
              <w:jc w:val="both"/>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bCs/>
                <w:color w:val="auto"/>
                <w:sz w:val="21"/>
                <w:szCs w:val="21"/>
                <w:u w:val="none"/>
                <w:lang w:val="en-US" w:eastAsia="zh-CN"/>
              </w:rPr>
              <w:t>2.</w:t>
            </w:r>
            <w:r>
              <w:rPr>
                <w:rFonts w:hint="eastAsia" w:ascii="仿宋" w:hAnsi="仿宋" w:eastAsia="仿宋" w:cs="仿宋"/>
                <w:b w:val="0"/>
                <w:bCs w:val="0"/>
                <w:color w:val="auto"/>
                <w:sz w:val="21"/>
                <w:szCs w:val="21"/>
                <w:u w:val="none"/>
                <w:lang w:val="en-US" w:eastAsia="zh-CN"/>
              </w:rPr>
              <w:t>积极配合参与学校数字化转型和智慧校园工作（数据治理、应用推广、问卷调查、网络安全等），依据参与次数赋分，满分1分。</w:t>
            </w:r>
          </w:p>
        </w:tc>
        <w:tc>
          <w:tcPr>
            <w:tcW w:w="457" w:type="pct"/>
            <w:shd w:val="clear" w:color="auto" w:fill="auto"/>
            <w:vAlign w:val="center"/>
          </w:tcPr>
          <w:p w14:paraId="41285443">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b w:val="0"/>
                <w:bCs w:val="0"/>
                <w:color w:val="auto"/>
                <w:sz w:val="21"/>
                <w:szCs w:val="21"/>
                <w:u w:val="none"/>
                <w:lang w:val="en-US" w:eastAsia="zh-CN" w:bidi="ar-SA"/>
              </w:rPr>
            </w:pPr>
            <w:r>
              <w:rPr>
                <w:rFonts w:hint="eastAsia" w:ascii="仿宋" w:hAnsi="仿宋" w:eastAsia="仿宋" w:cs="仿宋"/>
                <w:b w:val="0"/>
                <w:bCs w:val="0"/>
                <w:color w:val="auto"/>
                <w:sz w:val="21"/>
                <w:szCs w:val="21"/>
                <w:u w:val="none"/>
              </w:rPr>
              <w:t>图书馆（信息技术中心）</w:t>
            </w:r>
          </w:p>
        </w:tc>
      </w:tr>
      <w:tr w14:paraId="460C450D">
        <w:trPr>
          <w:trHeight w:val="98" w:hRule="atLeast"/>
        </w:trPr>
        <w:tc>
          <w:tcPr>
            <w:tcW w:w="432" w:type="pct"/>
            <w:vMerge w:val="continue"/>
            <w:vAlign w:val="center"/>
          </w:tcPr>
          <w:p w14:paraId="01A0CB57">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4567" w:type="pct"/>
            <w:gridSpan w:val="3"/>
            <w:vAlign w:val="center"/>
          </w:tcPr>
          <w:p w14:paraId="6AFCCA0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u w:val="none"/>
                <w:lang w:val="en-US" w:eastAsia="zh-CN"/>
              </w:rPr>
              <w:t>发展性指标</w:t>
            </w:r>
          </w:p>
        </w:tc>
      </w:tr>
      <w:tr w14:paraId="4486B9F8">
        <w:trPr>
          <w:trHeight w:val="567" w:hRule="atLeast"/>
        </w:trPr>
        <w:tc>
          <w:tcPr>
            <w:tcW w:w="432" w:type="pct"/>
            <w:vMerge w:val="continue"/>
            <w:vAlign w:val="center"/>
          </w:tcPr>
          <w:p w14:paraId="0D7BBE47">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仿宋" w:hAnsi="仿宋" w:eastAsia="仿宋" w:cs="仿宋"/>
                <w:b w:val="0"/>
                <w:bCs w:val="0"/>
                <w:color w:val="auto"/>
                <w:sz w:val="21"/>
                <w:szCs w:val="21"/>
                <w:u w:val="none"/>
              </w:rPr>
            </w:pPr>
          </w:p>
        </w:tc>
        <w:tc>
          <w:tcPr>
            <w:tcW w:w="1531" w:type="dxa"/>
            <w:vAlign w:val="center"/>
          </w:tcPr>
          <w:p w14:paraId="7CE9202C">
            <w:pPr>
              <w:keepNext w:val="0"/>
              <w:keepLines w:val="0"/>
              <w:pageBreakBefore w:val="0"/>
              <w:widowControl w:val="0"/>
              <w:kinsoku/>
              <w:wordWrap/>
              <w:overflowPunct/>
              <w:topLinePunct w:val="0"/>
              <w:autoSpaceDN/>
              <w:bidi w:val="0"/>
              <w:adjustRightInd/>
              <w:snapToGrid/>
              <w:spacing w:line="280" w:lineRule="exact"/>
              <w:jc w:val="center"/>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sz w:val="21"/>
                <w:szCs w:val="21"/>
                <w:highlight w:val="none"/>
                <w:u w:val="none"/>
                <w:lang w:val="en-US" w:eastAsia="zh-CN"/>
              </w:rPr>
              <w:t>教育数字化改革创新（1.5分）</w:t>
            </w:r>
          </w:p>
        </w:tc>
        <w:tc>
          <w:tcPr>
            <w:tcW w:w="10055" w:type="dxa"/>
            <w:shd w:val="clear" w:color="auto" w:fill="auto"/>
            <w:vAlign w:val="center"/>
          </w:tcPr>
          <w:p w14:paraId="2C78AB74">
            <w:pPr>
              <w:keepNext w:val="0"/>
              <w:keepLines w:val="0"/>
              <w:pageBreakBefore w:val="0"/>
              <w:widowControl w:val="0"/>
              <w:kinsoku/>
              <w:wordWrap/>
              <w:overflowPunct/>
              <w:topLinePunct w:val="0"/>
              <w:autoSpaceDN/>
              <w:bidi w:val="0"/>
              <w:adjustRightInd/>
              <w:snapToGrid/>
              <w:spacing w:line="280" w:lineRule="exact"/>
              <w:jc w:val="both"/>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bCs/>
                <w:color w:val="auto"/>
                <w:sz w:val="21"/>
                <w:szCs w:val="21"/>
                <w:highlight w:val="none"/>
                <w:u w:val="none"/>
                <w:lang w:val="en-US" w:eastAsia="zh-CN"/>
              </w:rPr>
              <w:t>1.</w:t>
            </w:r>
            <w:r>
              <w:rPr>
                <w:rFonts w:hint="eastAsia" w:ascii="仿宋" w:hAnsi="仿宋" w:eastAsia="仿宋" w:cs="仿宋"/>
                <w:b w:val="0"/>
                <w:bCs w:val="0"/>
                <w:color w:val="auto"/>
                <w:sz w:val="21"/>
                <w:szCs w:val="21"/>
                <w:highlight w:val="none"/>
                <w:u w:val="none"/>
                <w:lang w:val="en-US" w:eastAsia="zh-CN"/>
              </w:rPr>
              <w:t>获评市级及以上优秀案例及相关获奖1分/项；</w:t>
            </w:r>
            <w:r>
              <w:rPr>
                <w:rFonts w:hint="eastAsia" w:ascii="仿宋" w:hAnsi="仿宋" w:eastAsia="仿宋" w:cs="仿宋"/>
                <w:b w:val="0"/>
                <w:bCs w:val="0"/>
                <w:color w:val="auto"/>
                <w:sz w:val="21"/>
                <w:szCs w:val="21"/>
                <w:highlight w:val="none"/>
                <w:u w:val="none"/>
                <w:lang w:val="en-US" w:eastAsia="zh-CN"/>
              </w:rPr>
              <w:br w:type="textWrapping"/>
            </w:r>
            <w:r>
              <w:rPr>
                <w:rFonts w:hint="eastAsia" w:ascii="仿宋" w:hAnsi="仿宋" w:eastAsia="仿宋" w:cs="仿宋"/>
                <w:b/>
                <w:bCs/>
                <w:color w:val="auto"/>
                <w:sz w:val="21"/>
                <w:szCs w:val="21"/>
                <w:highlight w:val="none"/>
                <w:u w:val="none"/>
                <w:lang w:val="en-US" w:eastAsia="zh-CN"/>
              </w:rPr>
              <w:t>2.</w:t>
            </w:r>
            <w:r>
              <w:rPr>
                <w:rFonts w:hint="eastAsia" w:ascii="仿宋" w:hAnsi="仿宋" w:eastAsia="仿宋" w:cs="仿宋"/>
                <w:b w:val="0"/>
                <w:bCs w:val="0"/>
                <w:color w:val="auto"/>
                <w:sz w:val="21"/>
                <w:szCs w:val="21"/>
                <w:highlight w:val="none"/>
                <w:u w:val="none"/>
                <w:lang w:val="en-US" w:eastAsia="zh-CN"/>
              </w:rPr>
              <w:t>公开发表相关论文、出版相关专著或相关成果1分/项；</w:t>
            </w:r>
            <w:r>
              <w:rPr>
                <w:rFonts w:hint="eastAsia" w:ascii="仿宋" w:hAnsi="仿宋" w:eastAsia="仿宋" w:cs="仿宋"/>
                <w:b w:val="0"/>
                <w:bCs w:val="0"/>
                <w:color w:val="auto"/>
                <w:sz w:val="21"/>
                <w:szCs w:val="21"/>
                <w:highlight w:val="none"/>
                <w:u w:val="none"/>
                <w:lang w:val="en-US" w:eastAsia="zh-CN"/>
              </w:rPr>
              <w:br w:type="textWrapping"/>
            </w:r>
            <w:r>
              <w:rPr>
                <w:rFonts w:hint="eastAsia" w:ascii="仿宋" w:hAnsi="仿宋" w:eastAsia="仿宋" w:cs="仿宋"/>
                <w:b/>
                <w:bCs/>
                <w:color w:val="auto"/>
                <w:sz w:val="21"/>
                <w:szCs w:val="21"/>
                <w:highlight w:val="none"/>
                <w:u w:val="none"/>
                <w:lang w:val="en-US" w:eastAsia="zh-CN"/>
              </w:rPr>
              <w:t>3.</w:t>
            </w:r>
            <w:r>
              <w:rPr>
                <w:rFonts w:hint="eastAsia" w:ascii="仿宋" w:hAnsi="仿宋" w:eastAsia="仿宋" w:cs="仿宋"/>
                <w:b w:val="0"/>
                <w:bCs w:val="0"/>
                <w:color w:val="auto"/>
                <w:sz w:val="21"/>
                <w:szCs w:val="21"/>
                <w:highlight w:val="none"/>
                <w:u w:val="none"/>
                <w:lang w:val="en-US" w:eastAsia="zh-CN"/>
              </w:rPr>
              <w:t>相关工作获省级及以上媒体宣传1分/项。</w:t>
            </w:r>
            <w:r>
              <w:rPr>
                <w:rFonts w:hint="eastAsia" w:ascii="仿宋" w:hAnsi="仿宋" w:eastAsia="仿宋" w:cs="仿宋"/>
                <w:b w:val="0"/>
                <w:bCs w:val="0"/>
                <w:color w:val="auto"/>
                <w:sz w:val="21"/>
                <w:szCs w:val="21"/>
                <w:highlight w:val="none"/>
                <w:u w:val="none"/>
                <w:lang w:val="en-US" w:eastAsia="zh-CN"/>
              </w:rPr>
              <w:br w:type="textWrapping"/>
            </w:r>
            <w:r>
              <w:rPr>
                <w:rFonts w:hint="eastAsia" w:ascii="仿宋" w:hAnsi="仿宋" w:eastAsia="仿宋" w:cs="仿宋"/>
                <w:b w:val="0"/>
                <w:bCs w:val="0"/>
                <w:color w:val="auto"/>
                <w:sz w:val="21"/>
                <w:szCs w:val="21"/>
                <w:highlight w:val="none"/>
                <w:u w:val="none"/>
                <w:lang w:val="en-US" w:eastAsia="zh-CN"/>
              </w:rPr>
              <w:t>得3分及以上为A，2分为B，1分为C，其余不得分。</w:t>
            </w:r>
          </w:p>
        </w:tc>
        <w:tc>
          <w:tcPr>
            <w:tcW w:w="457" w:type="pct"/>
            <w:vAlign w:val="center"/>
          </w:tcPr>
          <w:p w14:paraId="639933FC">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b w:val="0"/>
                <w:bCs w:val="0"/>
                <w:color w:val="auto"/>
                <w:sz w:val="21"/>
                <w:szCs w:val="21"/>
                <w:u w:val="none"/>
              </w:rPr>
            </w:pPr>
            <w:r>
              <w:rPr>
                <w:rFonts w:hint="eastAsia" w:ascii="仿宋" w:hAnsi="仿宋" w:eastAsia="仿宋" w:cs="仿宋"/>
                <w:b w:val="0"/>
                <w:bCs w:val="0"/>
                <w:color w:val="auto"/>
                <w:sz w:val="21"/>
                <w:szCs w:val="21"/>
                <w:u w:val="none"/>
              </w:rPr>
              <w:t>图书馆（信息技术中心）</w:t>
            </w:r>
          </w:p>
        </w:tc>
      </w:tr>
    </w:tbl>
    <w:p w14:paraId="3349B63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b w:val="0"/>
          <w:bCs w:val="0"/>
          <w:color w:val="auto"/>
          <w:sz w:val="24"/>
          <w:szCs w:val="24"/>
          <w:u w:val="none"/>
          <w:lang w:val="en-US" w:eastAsia="zh-CN"/>
        </w:rPr>
      </w:pPr>
      <w:r>
        <w:rPr>
          <w:rFonts w:hint="eastAsia" w:ascii="仿宋" w:hAnsi="仿宋" w:eastAsia="仿宋" w:cs="仿宋"/>
          <w:b w:val="0"/>
          <w:bCs w:val="0"/>
          <w:color w:val="auto"/>
          <w:sz w:val="21"/>
          <w:szCs w:val="21"/>
          <w:u w:val="none"/>
          <w:lang w:val="en-US" w:eastAsia="zh-CN"/>
        </w:rPr>
        <w:t>备注：1.基础性指标31个共 64.5分，发展性指标共18个35.5分。</w:t>
      </w:r>
    </w:p>
    <w:p w14:paraId="226B31F9">
      <w:pPr>
        <w:keepNext w:val="0"/>
        <w:keepLines w:val="0"/>
        <w:pageBreakBefore w:val="0"/>
        <w:widowControl w:val="0"/>
        <w:kinsoku/>
        <w:wordWrap/>
        <w:overflowPunct/>
        <w:topLinePunct w:val="0"/>
        <w:autoSpaceDE/>
        <w:autoSpaceDN/>
        <w:bidi w:val="0"/>
        <w:adjustRightInd/>
        <w:snapToGrid/>
        <w:spacing w:line="280" w:lineRule="exact"/>
        <w:ind w:firstLine="630" w:firstLineChars="300"/>
        <w:jc w:val="left"/>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2.18个发展性指标至少选取15个指标。以15个指标得分比例作为剩余指标赋分依据。</w:t>
      </w:r>
    </w:p>
    <w:p w14:paraId="19B59DF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30" w:firstLineChars="300"/>
        <w:jc w:val="left"/>
        <w:textAlignment w:val="auto"/>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3.发展性指标中A档占比为100%，B档占比为80%，C档占比为50%。</w:t>
      </w:r>
    </w:p>
    <w:p w14:paraId="5C969BE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color w:val="C00000"/>
          <w:sz w:val="21"/>
          <w:szCs w:val="21"/>
          <w:u w:val="none"/>
          <w:lang w:val="en-US" w:eastAsia="zh-CN"/>
        </w:rPr>
      </w:pPr>
    </w:p>
    <w:sectPr>
      <w:footerReference r:id="rId3" w:type="default"/>
      <w:pgSz w:w="16838" w:h="11906" w:orient="landscape"/>
      <w:pgMar w:top="1746" w:right="1440" w:bottom="1701"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FZDocXiaoBiaoSong">
    <w:panose1 w:val="02000500000000000000"/>
    <w:charset w:val="86"/>
    <w:family w:val="auto"/>
    <w:pitch w:val="default"/>
    <w:sig w:usb0="A00002BF" w:usb1="38CF7CFA" w:usb2="00000016" w:usb3="00000000" w:csb0="00040001" w:csb1="00000000"/>
  </w:font>
  <w:font w:name="方正公文小标宋">
    <w:panose1 w:val="02000500000000000000"/>
    <w:charset w:val="86"/>
    <w:family w:val="auto"/>
    <w:pitch w:val="default"/>
    <w:sig w:usb0="A00002BF" w:usb1="38CF7CFA" w:usb2="00000016" w:usb3="00000000" w:csb0="00040001" w:csb1="00000000"/>
  </w:font>
  <w:font w:name="等线">
    <w:altName w:val="汉仪中等线KW"/>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C8B2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F6BA34">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F6BA34">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iNDM2MGM0ZjI3OTZlMjk2NmNiYjhiOWU4NjA4NWUifQ=="/>
  </w:docVars>
  <w:rsids>
    <w:rsidRoot w:val="00172A27"/>
    <w:rsid w:val="000422EB"/>
    <w:rsid w:val="000707FC"/>
    <w:rsid w:val="0007512D"/>
    <w:rsid w:val="001048EC"/>
    <w:rsid w:val="0014405D"/>
    <w:rsid w:val="00255B60"/>
    <w:rsid w:val="002E5490"/>
    <w:rsid w:val="00462BFA"/>
    <w:rsid w:val="005431E4"/>
    <w:rsid w:val="00572F2E"/>
    <w:rsid w:val="005C74C4"/>
    <w:rsid w:val="00605671"/>
    <w:rsid w:val="006473EE"/>
    <w:rsid w:val="006A6186"/>
    <w:rsid w:val="007272E9"/>
    <w:rsid w:val="00755DF3"/>
    <w:rsid w:val="007855A8"/>
    <w:rsid w:val="007A2443"/>
    <w:rsid w:val="00995FC3"/>
    <w:rsid w:val="009A3753"/>
    <w:rsid w:val="00A27A45"/>
    <w:rsid w:val="00A333FD"/>
    <w:rsid w:val="00A45AA1"/>
    <w:rsid w:val="00AE7CF6"/>
    <w:rsid w:val="00D30A8B"/>
    <w:rsid w:val="00E47205"/>
    <w:rsid w:val="00F173A3"/>
    <w:rsid w:val="00F57B98"/>
    <w:rsid w:val="00F65AB4"/>
    <w:rsid w:val="00FC1C73"/>
    <w:rsid w:val="02A217CE"/>
    <w:rsid w:val="034D4E02"/>
    <w:rsid w:val="04017770"/>
    <w:rsid w:val="076B05A4"/>
    <w:rsid w:val="07BCC6F9"/>
    <w:rsid w:val="0BF71D5E"/>
    <w:rsid w:val="10820530"/>
    <w:rsid w:val="12194F2B"/>
    <w:rsid w:val="131E420F"/>
    <w:rsid w:val="13C62793"/>
    <w:rsid w:val="13E64850"/>
    <w:rsid w:val="13F05A62"/>
    <w:rsid w:val="149D7D3B"/>
    <w:rsid w:val="156B2CFF"/>
    <w:rsid w:val="160927B3"/>
    <w:rsid w:val="16454EF8"/>
    <w:rsid w:val="1698689B"/>
    <w:rsid w:val="175A45FB"/>
    <w:rsid w:val="18772A8D"/>
    <w:rsid w:val="19582FA2"/>
    <w:rsid w:val="19ADFCAE"/>
    <w:rsid w:val="19FB28E2"/>
    <w:rsid w:val="1ABF22ED"/>
    <w:rsid w:val="1B313110"/>
    <w:rsid w:val="1BFF78F1"/>
    <w:rsid w:val="1D73ED96"/>
    <w:rsid w:val="1E3B3D7D"/>
    <w:rsid w:val="1F331739"/>
    <w:rsid w:val="1F6FD2BB"/>
    <w:rsid w:val="1F78710D"/>
    <w:rsid w:val="1F8EEE4D"/>
    <w:rsid w:val="1F9E1039"/>
    <w:rsid w:val="1F9EAD24"/>
    <w:rsid w:val="1FCCB139"/>
    <w:rsid w:val="20283214"/>
    <w:rsid w:val="226057A5"/>
    <w:rsid w:val="23C465C3"/>
    <w:rsid w:val="24FC618E"/>
    <w:rsid w:val="25FC7C7C"/>
    <w:rsid w:val="262F0B9F"/>
    <w:rsid w:val="26F35B9D"/>
    <w:rsid w:val="27B7CC61"/>
    <w:rsid w:val="297745E0"/>
    <w:rsid w:val="299D30EA"/>
    <w:rsid w:val="299FEB9F"/>
    <w:rsid w:val="29FF5E51"/>
    <w:rsid w:val="2BDF4B4B"/>
    <w:rsid w:val="2C7BA6CA"/>
    <w:rsid w:val="2C87D116"/>
    <w:rsid w:val="2D7FD983"/>
    <w:rsid w:val="2DA70444"/>
    <w:rsid w:val="2DD3ACBE"/>
    <w:rsid w:val="2DDC6729"/>
    <w:rsid w:val="2DEE7C56"/>
    <w:rsid w:val="2DFFA4DB"/>
    <w:rsid w:val="2E76B556"/>
    <w:rsid w:val="2E79492B"/>
    <w:rsid w:val="2E7E27E5"/>
    <w:rsid w:val="2F578B2C"/>
    <w:rsid w:val="2F732071"/>
    <w:rsid w:val="2FEE4F5C"/>
    <w:rsid w:val="2FEF17F6"/>
    <w:rsid w:val="2FFFE008"/>
    <w:rsid w:val="31FF5C33"/>
    <w:rsid w:val="32AA4C73"/>
    <w:rsid w:val="32CE4CFF"/>
    <w:rsid w:val="32FFE690"/>
    <w:rsid w:val="33545A57"/>
    <w:rsid w:val="33E95FA0"/>
    <w:rsid w:val="343C3F54"/>
    <w:rsid w:val="34A55145"/>
    <w:rsid w:val="35FF0ED6"/>
    <w:rsid w:val="36BB3E6C"/>
    <w:rsid w:val="36FFCF37"/>
    <w:rsid w:val="378D7E52"/>
    <w:rsid w:val="37EDB1E0"/>
    <w:rsid w:val="37F7C88B"/>
    <w:rsid w:val="37FE53E2"/>
    <w:rsid w:val="38E450A6"/>
    <w:rsid w:val="39BEFBE7"/>
    <w:rsid w:val="39DF7A0E"/>
    <w:rsid w:val="3AFF3FEE"/>
    <w:rsid w:val="3B7DA209"/>
    <w:rsid w:val="3BE75F66"/>
    <w:rsid w:val="3BEB2FA9"/>
    <w:rsid w:val="3BFF7FB0"/>
    <w:rsid w:val="3C7419A9"/>
    <w:rsid w:val="3CA8662A"/>
    <w:rsid w:val="3D415EA8"/>
    <w:rsid w:val="3DA7BC38"/>
    <w:rsid w:val="3DEE5ADC"/>
    <w:rsid w:val="3DFB7F8D"/>
    <w:rsid w:val="3DFB805C"/>
    <w:rsid w:val="3DFFEFE3"/>
    <w:rsid w:val="3EF9F746"/>
    <w:rsid w:val="3EFFE62B"/>
    <w:rsid w:val="3F132BE1"/>
    <w:rsid w:val="3F293E78"/>
    <w:rsid w:val="3F2C108F"/>
    <w:rsid w:val="3F7BF0A6"/>
    <w:rsid w:val="3F7E758F"/>
    <w:rsid w:val="3F7F22F5"/>
    <w:rsid w:val="3F7FFAA4"/>
    <w:rsid w:val="3F8B1DB1"/>
    <w:rsid w:val="3F9C1303"/>
    <w:rsid w:val="3FB97D11"/>
    <w:rsid w:val="3FBF08BF"/>
    <w:rsid w:val="3FDA5FB4"/>
    <w:rsid w:val="3FDE8B63"/>
    <w:rsid w:val="3FE5B1A6"/>
    <w:rsid w:val="3FFDEC10"/>
    <w:rsid w:val="3FFE499E"/>
    <w:rsid w:val="3FFF6306"/>
    <w:rsid w:val="3FFF7036"/>
    <w:rsid w:val="41E62A23"/>
    <w:rsid w:val="43F65ECD"/>
    <w:rsid w:val="44A244F9"/>
    <w:rsid w:val="463F6603"/>
    <w:rsid w:val="46F84890"/>
    <w:rsid w:val="470D7701"/>
    <w:rsid w:val="488B3F2D"/>
    <w:rsid w:val="488F420B"/>
    <w:rsid w:val="495317A9"/>
    <w:rsid w:val="4B7656C2"/>
    <w:rsid w:val="4BF37091"/>
    <w:rsid w:val="4C685CFD"/>
    <w:rsid w:val="4DFD2444"/>
    <w:rsid w:val="4EDBE747"/>
    <w:rsid w:val="4EEF4ED8"/>
    <w:rsid w:val="4F2066D0"/>
    <w:rsid w:val="4F8AAF2A"/>
    <w:rsid w:val="4FDE5D01"/>
    <w:rsid w:val="4FFFC408"/>
    <w:rsid w:val="5135C323"/>
    <w:rsid w:val="51775D9E"/>
    <w:rsid w:val="52BB6C5F"/>
    <w:rsid w:val="533407C0"/>
    <w:rsid w:val="5367E2DC"/>
    <w:rsid w:val="53B01E16"/>
    <w:rsid w:val="53DDE0B4"/>
    <w:rsid w:val="53E7D9D5"/>
    <w:rsid w:val="54B658DB"/>
    <w:rsid w:val="55DFD357"/>
    <w:rsid w:val="560B201F"/>
    <w:rsid w:val="562A5DB8"/>
    <w:rsid w:val="567E73DF"/>
    <w:rsid w:val="56AE6CBE"/>
    <w:rsid w:val="56C65E1F"/>
    <w:rsid w:val="57E80C14"/>
    <w:rsid w:val="57FB1ED9"/>
    <w:rsid w:val="57FB3117"/>
    <w:rsid w:val="57FF403F"/>
    <w:rsid w:val="57FFDEEE"/>
    <w:rsid w:val="58F3E5A2"/>
    <w:rsid w:val="596FF0C9"/>
    <w:rsid w:val="598F49A2"/>
    <w:rsid w:val="59EF30BB"/>
    <w:rsid w:val="59FFBCF4"/>
    <w:rsid w:val="5B3F8198"/>
    <w:rsid w:val="5B5BAC2F"/>
    <w:rsid w:val="5BB2E3E7"/>
    <w:rsid w:val="5BBDDFD2"/>
    <w:rsid w:val="5BD45B5C"/>
    <w:rsid w:val="5BEF8BE7"/>
    <w:rsid w:val="5BEF9281"/>
    <w:rsid w:val="5BF602A1"/>
    <w:rsid w:val="5BFFBB82"/>
    <w:rsid w:val="5C62014C"/>
    <w:rsid w:val="5CA900F6"/>
    <w:rsid w:val="5CF72510"/>
    <w:rsid w:val="5CF82EF2"/>
    <w:rsid w:val="5E45E725"/>
    <w:rsid w:val="5E7EBEEB"/>
    <w:rsid w:val="5E7F08E1"/>
    <w:rsid w:val="5E8A5EC2"/>
    <w:rsid w:val="5EFDB57C"/>
    <w:rsid w:val="5FBB8489"/>
    <w:rsid w:val="5FDEBE05"/>
    <w:rsid w:val="5FF37D55"/>
    <w:rsid w:val="5FFF5E00"/>
    <w:rsid w:val="5FFF9662"/>
    <w:rsid w:val="5FFFAAEB"/>
    <w:rsid w:val="61246023"/>
    <w:rsid w:val="619B23EB"/>
    <w:rsid w:val="63C96EE5"/>
    <w:rsid w:val="63FE58DA"/>
    <w:rsid w:val="646D77A8"/>
    <w:rsid w:val="6477E539"/>
    <w:rsid w:val="65EF75E6"/>
    <w:rsid w:val="672A181B"/>
    <w:rsid w:val="67962EA7"/>
    <w:rsid w:val="67BF06F6"/>
    <w:rsid w:val="67EEF3A1"/>
    <w:rsid w:val="67F34C60"/>
    <w:rsid w:val="67F7CCF9"/>
    <w:rsid w:val="686314D3"/>
    <w:rsid w:val="68EB0F56"/>
    <w:rsid w:val="69EE6348"/>
    <w:rsid w:val="6AF7B1A2"/>
    <w:rsid w:val="6B8F2C29"/>
    <w:rsid w:val="6BF7BE24"/>
    <w:rsid w:val="6BFD88D4"/>
    <w:rsid w:val="6BFFA1F7"/>
    <w:rsid w:val="6DEA2EED"/>
    <w:rsid w:val="6E3A327F"/>
    <w:rsid w:val="6E6FE900"/>
    <w:rsid w:val="6E753004"/>
    <w:rsid w:val="6E7C20DE"/>
    <w:rsid w:val="6E801B50"/>
    <w:rsid w:val="6E973EB2"/>
    <w:rsid w:val="6EAEC375"/>
    <w:rsid w:val="6EB5352F"/>
    <w:rsid w:val="6EEFFB92"/>
    <w:rsid w:val="6F7F4DA3"/>
    <w:rsid w:val="6F7F54C9"/>
    <w:rsid w:val="6FAE8E86"/>
    <w:rsid w:val="6FCD863C"/>
    <w:rsid w:val="6FD688D3"/>
    <w:rsid w:val="6FEF0946"/>
    <w:rsid w:val="6FF7828D"/>
    <w:rsid w:val="6FFF9699"/>
    <w:rsid w:val="70B75778"/>
    <w:rsid w:val="71C83C58"/>
    <w:rsid w:val="72741EB1"/>
    <w:rsid w:val="72DF3E4C"/>
    <w:rsid w:val="72FEA7FF"/>
    <w:rsid w:val="731F5DC1"/>
    <w:rsid w:val="73ED6704"/>
    <w:rsid w:val="73FC3E08"/>
    <w:rsid w:val="746E109E"/>
    <w:rsid w:val="7496F945"/>
    <w:rsid w:val="74C77125"/>
    <w:rsid w:val="752979A7"/>
    <w:rsid w:val="75370BAA"/>
    <w:rsid w:val="754D32E1"/>
    <w:rsid w:val="75765EE0"/>
    <w:rsid w:val="75FFE133"/>
    <w:rsid w:val="770E0300"/>
    <w:rsid w:val="770F102E"/>
    <w:rsid w:val="774E15A1"/>
    <w:rsid w:val="777D4253"/>
    <w:rsid w:val="777F5415"/>
    <w:rsid w:val="77B5D547"/>
    <w:rsid w:val="77D70189"/>
    <w:rsid w:val="77EE5B51"/>
    <w:rsid w:val="77F3027C"/>
    <w:rsid w:val="77F5F8B0"/>
    <w:rsid w:val="77FC5C88"/>
    <w:rsid w:val="77FF7D99"/>
    <w:rsid w:val="78B83049"/>
    <w:rsid w:val="78F61CAC"/>
    <w:rsid w:val="797F68DC"/>
    <w:rsid w:val="79BE027D"/>
    <w:rsid w:val="79BF55F0"/>
    <w:rsid w:val="79DFD77D"/>
    <w:rsid w:val="7A5F5840"/>
    <w:rsid w:val="7A7AC046"/>
    <w:rsid w:val="7A9C2D8A"/>
    <w:rsid w:val="7AB6413E"/>
    <w:rsid w:val="7AFC616D"/>
    <w:rsid w:val="7B6E90E7"/>
    <w:rsid w:val="7B7F3652"/>
    <w:rsid w:val="7B7F809B"/>
    <w:rsid w:val="7BAE4CA3"/>
    <w:rsid w:val="7BDF69AD"/>
    <w:rsid w:val="7BEF59CF"/>
    <w:rsid w:val="7BF932CE"/>
    <w:rsid w:val="7BFDC5CD"/>
    <w:rsid w:val="7BFEE9E7"/>
    <w:rsid w:val="7BFF5E5E"/>
    <w:rsid w:val="7C6F9311"/>
    <w:rsid w:val="7C7B5FA8"/>
    <w:rsid w:val="7CDE7806"/>
    <w:rsid w:val="7CFF342B"/>
    <w:rsid w:val="7CFF9D65"/>
    <w:rsid w:val="7D5F865D"/>
    <w:rsid w:val="7D8F8508"/>
    <w:rsid w:val="7DB69591"/>
    <w:rsid w:val="7DCE8EC5"/>
    <w:rsid w:val="7DDFBC67"/>
    <w:rsid w:val="7DDFF248"/>
    <w:rsid w:val="7DDFF935"/>
    <w:rsid w:val="7DE57C63"/>
    <w:rsid w:val="7DEF3DA9"/>
    <w:rsid w:val="7DFB2F12"/>
    <w:rsid w:val="7DFFA1DB"/>
    <w:rsid w:val="7E3C2153"/>
    <w:rsid w:val="7E3F2920"/>
    <w:rsid w:val="7E3F39B4"/>
    <w:rsid w:val="7E96FD2C"/>
    <w:rsid w:val="7EBE0DF9"/>
    <w:rsid w:val="7EBE7B41"/>
    <w:rsid w:val="7EFC09EA"/>
    <w:rsid w:val="7EFF393F"/>
    <w:rsid w:val="7F1D710A"/>
    <w:rsid w:val="7F560F99"/>
    <w:rsid w:val="7F7DB7ED"/>
    <w:rsid w:val="7F7ED4C2"/>
    <w:rsid w:val="7F7FE48B"/>
    <w:rsid w:val="7F931997"/>
    <w:rsid w:val="7F9F5CC6"/>
    <w:rsid w:val="7FA78FA8"/>
    <w:rsid w:val="7FBCE9EE"/>
    <w:rsid w:val="7FBFAE29"/>
    <w:rsid w:val="7FD3128E"/>
    <w:rsid w:val="7FD55164"/>
    <w:rsid w:val="7FDF1ED4"/>
    <w:rsid w:val="7FEF3C20"/>
    <w:rsid w:val="7FF5D418"/>
    <w:rsid w:val="7FF66625"/>
    <w:rsid w:val="7FF7C82E"/>
    <w:rsid w:val="7FF8A748"/>
    <w:rsid w:val="7FF94CE4"/>
    <w:rsid w:val="7FFE41D2"/>
    <w:rsid w:val="7FFFC1E8"/>
    <w:rsid w:val="7FFFF40F"/>
    <w:rsid w:val="87E6B69F"/>
    <w:rsid w:val="8FFB0E5F"/>
    <w:rsid w:val="96E72041"/>
    <w:rsid w:val="99EF70DC"/>
    <w:rsid w:val="9A7E6D1D"/>
    <w:rsid w:val="9B7CF549"/>
    <w:rsid w:val="9BBE647A"/>
    <w:rsid w:val="9C7F34F8"/>
    <w:rsid w:val="9DFFE0FB"/>
    <w:rsid w:val="9EEFEF16"/>
    <w:rsid w:val="9F9F7E09"/>
    <w:rsid w:val="9FDFCCB1"/>
    <w:rsid w:val="9FEF97CB"/>
    <w:rsid w:val="9FF7376C"/>
    <w:rsid w:val="9FFF0469"/>
    <w:rsid w:val="A364521F"/>
    <w:rsid w:val="A3FEF79A"/>
    <w:rsid w:val="A62FB466"/>
    <w:rsid w:val="A77B058D"/>
    <w:rsid w:val="A7DED5D5"/>
    <w:rsid w:val="A7EBF7C1"/>
    <w:rsid w:val="A96FD59E"/>
    <w:rsid w:val="A9ED8F28"/>
    <w:rsid w:val="AAD9C537"/>
    <w:rsid w:val="ABD568A3"/>
    <w:rsid w:val="ABD9CC35"/>
    <w:rsid w:val="AEFFE07E"/>
    <w:rsid w:val="AF27E0CC"/>
    <w:rsid w:val="AF4F1F5B"/>
    <w:rsid w:val="AFC40A33"/>
    <w:rsid w:val="AFF71F34"/>
    <w:rsid w:val="AFFDE2A0"/>
    <w:rsid w:val="B3E3FC5A"/>
    <w:rsid w:val="B4F64195"/>
    <w:rsid w:val="B6A9AF09"/>
    <w:rsid w:val="B72B1125"/>
    <w:rsid w:val="B7CE36E0"/>
    <w:rsid w:val="B7CE5C39"/>
    <w:rsid w:val="B7F361A9"/>
    <w:rsid w:val="BAEA595C"/>
    <w:rsid w:val="BB77C086"/>
    <w:rsid w:val="BB9F7A69"/>
    <w:rsid w:val="BBDEF50F"/>
    <w:rsid w:val="BCD59687"/>
    <w:rsid w:val="BCFB6917"/>
    <w:rsid w:val="BD7F0A20"/>
    <w:rsid w:val="BE5E0DFE"/>
    <w:rsid w:val="BEFEB4C3"/>
    <w:rsid w:val="BF6F1B9F"/>
    <w:rsid w:val="BF965621"/>
    <w:rsid w:val="BF974841"/>
    <w:rsid w:val="BFBF33AD"/>
    <w:rsid w:val="BFBFCEA8"/>
    <w:rsid w:val="BFEF62BA"/>
    <w:rsid w:val="BFF867D8"/>
    <w:rsid w:val="BFFDB868"/>
    <w:rsid w:val="C1BC2C8F"/>
    <w:rsid w:val="C1FF821F"/>
    <w:rsid w:val="C3CE2709"/>
    <w:rsid w:val="C7EE24C8"/>
    <w:rsid w:val="C7FAF00B"/>
    <w:rsid w:val="C83EF8F4"/>
    <w:rsid w:val="CDEDB5E1"/>
    <w:rsid w:val="CE4F2078"/>
    <w:rsid w:val="CFE614F4"/>
    <w:rsid w:val="CFF9CF4D"/>
    <w:rsid w:val="D154802C"/>
    <w:rsid w:val="D277DABD"/>
    <w:rsid w:val="D3B34105"/>
    <w:rsid w:val="D3FB84F4"/>
    <w:rsid w:val="D5FE4910"/>
    <w:rsid w:val="D5FF6570"/>
    <w:rsid w:val="D623ECD5"/>
    <w:rsid w:val="D633D584"/>
    <w:rsid w:val="D7E36C3F"/>
    <w:rsid w:val="D7E79A20"/>
    <w:rsid w:val="D9FD7592"/>
    <w:rsid w:val="DA4C1CF7"/>
    <w:rsid w:val="DB123CB2"/>
    <w:rsid w:val="DB3B7A03"/>
    <w:rsid w:val="DBF96BAE"/>
    <w:rsid w:val="DBFEFB60"/>
    <w:rsid w:val="DCFFB6BB"/>
    <w:rsid w:val="DDFEF817"/>
    <w:rsid w:val="DE877CA6"/>
    <w:rsid w:val="DEBF1B43"/>
    <w:rsid w:val="DEF29BCD"/>
    <w:rsid w:val="DF67378C"/>
    <w:rsid w:val="DF67BBB1"/>
    <w:rsid w:val="DF6F6EE1"/>
    <w:rsid w:val="DF770CAB"/>
    <w:rsid w:val="DF7DFC52"/>
    <w:rsid w:val="DF7FC040"/>
    <w:rsid w:val="DFAFAC62"/>
    <w:rsid w:val="DFFB229E"/>
    <w:rsid w:val="DFFF84C9"/>
    <w:rsid w:val="DFFFA086"/>
    <w:rsid w:val="DFFFB249"/>
    <w:rsid w:val="E04F7060"/>
    <w:rsid w:val="E0CF8463"/>
    <w:rsid w:val="E13FCFB2"/>
    <w:rsid w:val="E2F3AF49"/>
    <w:rsid w:val="E3D7DA5E"/>
    <w:rsid w:val="E56EBA10"/>
    <w:rsid w:val="E5DE137E"/>
    <w:rsid w:val="E6FF2094"/>
    <w:rsid w:val="E7B7FB52"/>
    <w:rsid w:val="E9FEE483"/>
    <w:rsid w:val="EB3FA84B"/>
    <w:rsid w:val="EC7B370F"/>
    <w:rsid w:val="ECFDEDFD"/>
    <w:rsid w:val="EDFE3B00"/>
    <w:rsid w:val="EDFF0524"/>
    <w:rsid w:val="EE265FB9"/>
    <w:rsid w:val="EE459509"/>
    <w:rsid w:val="EEBF8FE7"/>
    <w:rsid w:val="EEC75B5E"/>
    <w:rsid w:val="EEDF4601"/>
    <w:rsid w:val="EEFBBEB1"/>
    <w:rsid w:val="EF6FA3D4"/>
    <w:rsid w:val="EF8821A5"/>
    <w:rsid w:val="EFA396B2"/>
    <w:rsid w:val="EFA72A0D"/>
    <w:rsid w:val="EFBB9FD3"/>
    <w:rsid w:val="EFDB1A9F"/>
    <w:rsid w:val="EFDBAAD9"/>
    <w:rsid w:val="EFDE34ED"/>
    <w:rsid w:val="EFDF8EC0"/>
    <w:rsid w:val="EFE53C60"/>
    <w:rsid w:val="EFE72B05"/>
    <w:rsid w:val="EFEF7D56"/>
    <w:rsid w:val="EFFB878F"/>
    <w:rsid w:val="EFFC8010"/>
    <w:rsid w:val="EFFD311B"/>
    <w:rsid w:val="EFFF06FF"/>
    <w:rsid w:val="EFFF6E0E"/>
    <w:rsid w:val="F2FF7057"/>
    <w:rsid w:val="F3FF8F87"/>
    <w:rsid w:val="F5CFDC6D"/>
    <w:rsid w:val="F5DF3B33"/>
    <w:rsid w:val="F5EF482D"/>
    <w:rsid w:val="F5F79331"/>
    <w:rsid w:val="F67B1947"/>
    <w:rsid w:val="F6AF32B6"/>
    <w:rsid w:val="F6BFF0EA"/>
    <w:rsid w:val="F6FE1B3F"/>
    <w:rsid w:val="F6FE62FF"/>
    <w:rsid w:val="F6FF7ED9"/>
    <w:rsid w:val="F73FF1A6"/>
    <w:rsid w:val="F77F2B9B"/>
    <w:rsid w:val="F7BDFFF4"/>
    <w:rsid w:val="F7F5AFA5"/>
    <w:rsid w:val="F7F77F65"/>
    <w:rsid w:val="F7F7D154"/>
    <w:rsid w:val="F7FFBF98"/>
    <w:rsid w:val="F937824C"/>
    <w:rsid w:val="F9F5B378"/>
    <w:rsid w:val="FA977170"/>
    <w:rsid w:val="FABB260E"/>
    <w:rsid w:val="FABEE475"/>
    <w:rsid w:val="FAEAE059"/>
    <w:rsid w:val="FAFE4006"/>
    <w:rsid w:val="FAFFD29F"/>
    <w:rsid w:val="FB2389E7"/>
    <w:rsid w:val="FB6FDF14"/>
    <w:rsid w:val="FB7D99EA"/>
    <w:rsid w:val="FB7F8B5E"/>
    <w:rsid w:val="FB88B9E2"/>
    <w:rsid w:val="FBADA261"/>
    <w:rsid w:val="FBADDAD5"/>
    <w:rsid w:val="FBBDF9E3"/>
    <w:rsid w:val="FBDF41A8"/>
    <w:rsid w:val="FBDFAE4F"/>
    <w:rsid w:val="FBFF6C15"/>
    <w:rsid w:val="FC3F8556"/>
    <w:rsid w:val="FC970237"/>
    <w:rsid w:val="FCB38FF0"/>
    <w:rsid w:val="FCF8421E"/>
    <w:rsid w:val="FCFBA2A4"/>
    <w:rsid w:val="FD664AFE"/>
    <w:rsid w:val="FD7FA524"/>
    <w:rsid w:val="FD9E79D2"/>
    <w:rsid w:val="FDA71460"/>
    <w:rsid w:val="FDBDBEA3"/>
    <w:rsid w:val="FDD20F23"/>
    <w:rsid w:val="FDF5505B"/>
    <w:rsid w:val="FDFF4C5B"/>
    <w:rsid w:val="FE4F85F1"/>
    <w:rsid w:val="FEBF8C2D"/>
    <w:rsid w:val="FEC3CB8D"/>
    <w:rsid w:val="FECC7848"/>
    <w:rsid w:val="FEEF8ED5"/>
    <w:rsid w:val="FEEFB481"/>
    <w:rsid w:val="FEF7CD0C"/>
    <w:rsid w:val="FEFB5B7F"/>
    <w:rsid w:val="FEFD288E"/>
    <w:rsid w:val="FEFE2FAC"/>
    <w:rsid w:val="FEFF4FF3"/>
    <w:rsid w:val="FEFF73DD"/>
    <w:rsid w:val="FEFFD079"/>
    <w:rsid w:val="FF1BF817"/>
    <w:rsid w:val="FF47238F"/>
    <w:rsid w:val="FF571E98"/>
    <w:rsid w:val="FF67FD64"/>
    <w:rsid w:val="FF6E37F1"/>
    <w:rsid w:val="FF7795E3"/>
    <w:rsid w:val="FF7BAA3E"/>
    <w:rsid w:val="FF7C73E2"/>
    <w:rsid w:val="FF7F402A"/>
    <w:rsid w:val="FF7F903A"/>
    <w:rsid w:val="FF958B6C"/>
    <w:rsid w:val="FF9B4EF1"/>
    <w:rsid w:val="FF9D4571"/>
    <w:rsid w:val="FFBF7191"/>
    <w:rsid w:val="FFCB57BB"/>
    <w:rsid w:val="FFDC9F6D"/>
    <w:rsid w:val="FFDEEC35"/>
    <w:rsid w:val="FFE36B45"/>
    <w:rsid w:val="FFE79CF1"/>
    <w:rsid w:val="FFEB4666"/>
    <w:rsid w:val="FFEE7E7D"/>
    <w:rsid w:val="FFEF129C"/>
    <w:rsid w:val="FFEF318B"/>
    <w:rsid w:val="FFEF8DF9"/>
    <w:rsid w:val="FFF535BB"/>
    <w:rsid w:val="FFF79E72"/>
    <w:rsid w:val="FFF9899A"/>
    <w:rsid w:val="FFFB2C69"/>
    <w:rsid w:val="FFFB61E0"/>
    <w:rsid w:val="FFFBB58F"/>
    <w:rsid w:val="FFFBF6EE"/>
    <w:rsid w:val="FFFD583B"/>
    <w:rsid w:val="FFFE06B7"/>
    <w:rsid w:val="FFFF9AF3"/>
    <w:rsid w:val="FFFFAF53"/>
    <w:rsid w:val="FFFFB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方正公文小标宋"/>
      <w:b/>
      <w:bCs/>
      <w:sz w:val="40"/>
      <w:szCs w:val="40"/>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unhideWhenUsed/>
    <w:qFormat/>
    <w:uiPriority w:val="99"/>
    <w:pPr>
      <w:spacing w:after="120"/>
    </w:pPr>
    <w:rPr>
      <w:rFonts w:ascii="等线" w:hAnsi="等线" w:eastAsia="等线" w:cs="Times New Roman"/>
      <w:sz w:val="21"/>
      <w:szCs w:val="22"/>
    </w:rPr>
  </w:style>
  <w:style w:type="paragraph" w:styleId="4">
    <w:name w:val="Body Text Indent 2"/>
    <w:basedOn w:val="1"/>
    <w:qFormat/>
    <w:uiPriority w:val="0"/>
    <w:pPr>
      <w:spacing w:after="120" w:line="480" w:lineRule="auto"/>
      <w:ind w:left="420" w:leftChars="200"/>
    </w:p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unhideWhenUsed/>
    <w:qFormat/>
    <w:uiPriority w:val="0"/>
    <w:rPr>
      <w:rFonts w:ascii="Times New Roman" w:hAnsi="Times New Roman" w:eastAsia="宋体" w:cs="Times New Roman"/>
    </w:rPr>
  </w:style>
  <w:style w:type="character" w:customStyle="1" w:styleId="12">
    <w:name w:val="font21"/>
    <w:qFormat/>
    <w:uiPriority w:val="0"/>
    <w:rPr>
      <w:rFonts w:hint="eastAsia" w:ascii="宋体" w:hAnsi="宋体" w:eastAsia="宋体" w:cs="宋体"/>
      <w:color w:val="000000"/>
      <w:sz w:val="21"/>
      <w:szCs w:val="21"/>
      <w:u w:val="none"/>
    </w:rPr>
  </w:style>
  <w:style w:type="paragraph" w:customStyle="1" w:styleId="13">
    <w:name w:val="Table Text"/>
    <w:basedOn w:val="1"/>
    <w:autoRedefine/>
    <w:semiHidden/>
    <w:qFormat/>
    <w:uiPriority w:val="0"/>
    <w:rPr>
      <w:rFonts w:ascii="仿宋" w:hAnsi="仿宋" w:eastAsia="仿宋" w:cs="仿宋"/>
      <w:sz w:val="24"/>
      <w:szCs w:val="24"/>
      <w:lang w:eastAsia="en-US"/>
    </w:rPr>
  </w:style>
  <w:style w:type="paragraph" w:styleId="14">
    <w:name w:val="List Paragraph"/>
    <w:basedOn w:val="1"/>
    <w:unhideWhenUsed/>
    <w:qFormat/>
    <w:uiPriority w:val="99"/>
    <w:pPr>
      <w:ind w:firstLine="420" w:firstLineChars="200"/>
    </w:pPr>
  </w:style>
  <w:style w:type="character" w:customStyle="1" w:styleId="15">
    <w:name w:val="页眉 字符"/>
    <w:basedOn w:val="10"/>
    <w:link w:val="6"/>
    <w:qFormat/>
    <w:uiPriority w:val="0"/>
    <w:rPr>
      <w:rFonts w:ascii="Calibri" w:hAnsi="Calibri" w:cs="方正公文小标宋"/>
      <w:b/>
      <w:bCs/>
      <w:sz w:val="18"/>
      <w:szCs w:val="18"/>
    </w:rPr>
  </w:style>
  <w:style w:type="character" w:customStyle="1" w:styleId="16">
    <w:name w:val="页脚 字符"/>
    <w:basedOn w:val="10"/>
    <w:link w:val="5"/>
    <w:qFormat/>
    <w:uiPriority w:val="0"/>
    <w:rPr>
      <w:rFonts w:ascii="Calibri" w:hAnsi="Calibri" w:cs="方正公文小标宋"/>
      <w:b/>
      <w:bCs/>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5956</Words>
  <Characters>6371</Characters>
  <Lines>54</Lines>
  <Paragraphs>15</Paragraphs>
  <TotalTime>38</TotalTime>
  <ScaleCrop>false</ScaleCrop>
  <LinksUpToDate>false</LinksUpToDate>
  <CharactersWithSpaces>6388</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2024-05-19T08:19:00Z</dcterms:created>
  <dc:creator>微笑的丁壹</dc:creator>
  <cp:lastModifiedBy>微笑的丁壹</cp:lastModifiedBy>
  <cp:lastPrinted>2025-01-02T03:24:00Z</cp:lastPrinted>
  <dcterms:modified xsi:type="dcterms:W3CDTF">2025-01-07T16:51:38Z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FE4A9EE96FA7B72A7C8A7367B7151D14_43</vt:lpwstr>
  </property>
  <property fmtid="{D5CDD505-2E9C-101B-9397-08002B2CF9AE}" pid="4" name="KSOTemplateDocerSaveRecord">
    <vt:lpwstr>eyJoZGlkIjoiZDFiN2I0YzliYjcxMzBjNzNjZjJjYmU5YTdjYWE5ZjYiLCJ1c2VySWQiOiI1NzIzMDA2MzkifQ==</vt:lpwstr>
  </property>
</Properties>
</file>