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9A6B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附件3</w:t>
      </w:r>
    </w:p>
    <w:p w14:paraId="0EC556A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b w:val="0"/>
          <w:bCs w:val="0"/>
          <w:sz w:val="36"/>
          <w:szCs w:val="36"/>
          <w:lang w:eastAsia="zh-CN"/>
        </w:rPr>
      </w:pPr>
      <w:r>
        <w:rPr>
          <w:rFonts w:hint="eastAsia" w:ascii="方正小标宋_GBK" w:hAnsi="方正小标宋_GBK" w:eastAsia="方正小标宋_GBK" w:cs="方正小标宋_GBK"/>
          <w:b w:val="0"/>
          <w:bCs w:val="0"/>
          <w:sz w:val="36"/>
          <w:szCs w:val="36"/>
        </w:rPr>
        <w:t>宁波城市职业技术学院</w:t>
      </w:r>
      <w:r>
        <w:rPr>
          <w:rFonts w:hint="eastAsia" w:ascii="方正小标宋_GBK" w:hAnsi="方正小标宋_GBK" w:eastAsia="方正小标宋_GBK" w:cs="方正小标宋_GBK"/>
          <w:b w:val="0"/>
          <w:bCs w:val="0"/>
          <w:sz w:val="36"/>
          <w:szCs w:val="36"/>
          <w:lang w:val="en-US" w:eastAsia="zh-CN"/>
        </w:rPr>
        <w:t>马克思主义学院</w:t>
      </w:r>
      <w:r>
        <w:rPr>
          <w:rFonts w:hint="eastAsia" w:ascii="方正小标宋_GBK" w:hAnsi="方正小标宋_GBK" w:eastAsia="方正小标宋_GBK" w:cs="方正小标宋_GBK"/>
          <w:b w:val="0"/>
          <w:bCs w:val="0"/>
          <w:sz w:val="36"/>
          <w:szCs w:val="36"/>
        </w:rPr>
        <w:t>高质量发展</w:t>
      </w:r>
      <w:r>
        <w:rPr>
          <w:rFonts w:hint="eastAsia" w:ascii="方正小标宋_GBK" w:hAnsi="方正小标宋_GBK" w:eastAsia="方正小标宋_GBK" w:cs="方正小标宋_GBK"/>
          <w:b w:val="0"/>
          <w:bCs w:val="0"/>
          <w:sz w:val="36"/>
          <w:szCs w:val="36"/>
          <w:lang w:val="en-US" w:eastAsia="zh-CN"/>
        </w:rPr>
        <w:t>评价</w:t>
      </w:r>
      <w:r>
        <w:rPr>
          <w:rFonts w:hint="eastAsia" w:ascii="方正小标宋_GBK" w:hAnsi="方正小标宋_GBK" w:eastAsia="方正小标宋_GBK" w:cs="方正小标宋_GBK"/>
          <w:b w:val="0"/>
          <w:bCs w:val="0"/>
          <w:sz w:val="36"/>
          <w:szCs w:val="36"/>
        </w:rPr>
        <w:t>指标</w:t>
      </w:r>
      <w:r>
        <w:rPr>
          <w:rFonts w:hint="eastAsia" w:ascii="方正小标宋_GBK" w:hAnsi="方正小标宋_GBK" w:eastAsia="方正小标宋_GBK" w:cs="方正小标宋_GBK"/>
          <w:b w:val="0"/>
          <w:bCs w:val="0"/>
          <w:sz w:val="36"/>
          <w:szCs w:val="36"/>
          <w:lang w:eastAsia="zh-CN"/>
        </w:rPr>
        <w:t>（</w:t>
      </w:r>
      <w:r>
        <w:rPr>
          <w:rFonts w:hint="eastAsia" w:ascii="方正小标宋_GBK" w:hAnsi="方正小标宋_GBK" w:eastAsia="方正小标宋_GBK" w:cs="方正小标宋_GBK"/>
          <w:b w:val="0"/>
          <w:bCs w:val="0"/>
          <w:sz w:val="36"/>
          <w:szCs w:val="36"/>
          <w:lang w:val="en-US" w:eastAsia="zh-CN"/>
        </w:rPr>
        <w:t>试行</w:t>
      </w:r>
      <w:r>
        <w:rPr>
          <w:rFonts w:hint="eastAsia" w:ascii="方正小标宋_GBK" w:hAnsi="方正小标宋_GBK" w:eastAsia="方正小标宋_GBK" w:cs="方正小标宋_GBK"/>
          <w:b w:val="0"/>
          <w:bCs w:val="0"/>
          <w:sz w:val="36"/>
          <w:szCs w:val="36"/>
          <w:lang w:eastAsia="zh-CN"/>
        </w:rPr>
        <w:t>）</w:t>
      </w:r>
    </w:p>
    <w:p w14:paraId="234693D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_GBK" w:hAnsi="方正小标宋_GBK" w:eastAsia="方正小标宋_GBK" w:cs="方正小标宋_GBK"/>
          <w:b w:val="0"/>
          <w:bCs w:val="0"/>
          <w:sz w:val="36"/>
          <w:szCs w:val="36"/>
          <w:lang w:eastAsia="zh-CN"/>
        </w:rPr>
      </w:pPr>
    </w:p>
    <w:tbl>
      <w:tblPr>
        <w:tblStyle w:val="7"/>
        <w:tblW w:w="14154" w:type="dxa"/>
        <w:tblInd w:w="-1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729"/>
        <w:gridCol w:w="9763"/>
        <w:gridCol w:w="1471"/>
      </w:tblGrid>
      <w:tr w14:paraId="281A2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1191" w:type="dxa"/>
            <w:vAlign w:val="center"/>
          </w:tcPr>
          <w:p w14:paraId="164328A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val="0"/>
                <w:bCs w:val="0"/>
                <w:color w:val="auto"/>
                <w:sz w:val="21"/>
                <w:szCs w:val="21"/>
                <w:u w:val="none"/>
              </w:rPr>
            </w:pPr>
            <w:r>
              <w:rPr>
                <w:rFonts w:hint="eastAsia" w:ascii="黑体" w:hAnsi="黑体" w:eastAsia="黑体" w:cs="黑体"/>
                <w:b w:val="0"/>
                <w:bCs w:val="0"/>
                <w:color w:val="auto"/>
                <w:sz w:val="21"/>
                <w:szCs w:val="21"/>
                <w:u w:val="none"/>
              </w:rPr>
              <w:t>一级指标</w:t>
            </w:r>
          </w:p>
        </w:tc>
        <w:tc>
          <w:tcPr>
            <w:tcW w:w="1729" w:type="dxa"/>
            <w:vAlign w:val="center"/>
          </w:tcPr>
          <w:p w14:paraId="2E85FB5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val="0"/>
                <w:bCs w:val="0"/>
                <w:color w:val="auto"/>
                <w:sz w:val="21"/>
                <w:szCs w:val="21"/>
                <w:u w:val="none"/>
                <w:lang w:val="en-US" w:eastAsia="zh-CN"/>
              </w:rPr>
            </w:pPr>
            <w:r>
              <w:rPr>
                <w:rFonts w:hint="eastAsia" w:ascii="黑体" w:hAnsi="黑体" w:eastAsia="黑体" w:cs="黑体"/>
                <w:b w:val="0"/>
                <w:bCs w:val="0"/>
                <w:color w:val="auto"/>
                <w:sz w:val="21"/>
                <w:szCs w:val="21"/>
                <w:u w:val="none"/>
                <w:lang w:val="en-US" w:eastAsia="zh-CN"/>
              </w:rPr>
              <w:t>观测点</w:t>
            </w:r>
          </w:p>
        </w:tc>
        <w:tc>
          <w:tcPr>
            <w:tcW w:w="9763" w:type="dxa"/>
            <w:vAlign w:val="center"/>
          </w:tcPr>
          <w:p w14:paraId="3B216930">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val="0"/>
                <w:bCs w:val="0"/>
                <w:color w:val="auto"/>
                <w:sz w:val="21"/>
                <w:szCs w:val="21"/>
                <w:u w:val="none"/>
              </w:rPr>
            </w:pPr>
            <w:r>
              <w:rPr>
                <w:rFonts w:hint="eastAsia" w:ascii="黑体" w:hAnsi="黑体" w:eastAsia="黑体" w:cs="黑体"/>
                <w:b w:val="0"/>
                <w:bCs w:val="0"/>
                <w:color w:val="auto"/>
                <w:sz w:val="21"/>
                <w:szCs w:val="21"/>
                <w:u w:val="none"/>
              </w:rPr>
              <w:t xml:space="preserve">赋分标准  </w:t>
            </w:r>
          </w:p>
        </w:tc>
        <w:tc>
          <w:tcPr>
            <w:tcW w:w="1471" w:type="dxa"/>
            <w:vAlign w:val="center"/>
          </w:tcPr>
          <w:p w14:paraId="389E62EB">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val="0"/>
                <w:bCs w:val="0"/>
                <w:color w:val="auto"/>
                <w:sz w:val="21"/>
                <w:szCs w:val="21"/>
                <w:u w:val="none"/>
              </w:rPr>
            </w:pPr>
            <w:r>
              <w:rPr>
                <w:rFonts w:hint="eastAsia" w:ascii="黑体" w:hAnsi="黑体" w:eastAsia="黑体" w:cs="黑体"/>
                <w:b w:val="0"/>
                <w:bCs w:val="0"/>
                <w:color w:val="auto"/>
                <w:sz w:val="21"/>
                <w:szCs w:val="21"/>
                <w:u w:val="none"/>
              </w:rPr>
              <w:t>评分部门</w:t>
            </w:r>
          </w:p>
        </w:tc>
      </w:tr>
      <w:tr w14:paraId="05CBE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1" w:type="dxa"/>
            <w:vMerge w:val="restart"/>
            <w:vAlign w:val="center"/>
          </w:tcPr>
          <w:p w14:paraId="5C5C102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rPr>
              <w:t>1.教学质量与水平</w:t>
            </w:r>
            <w:r>
              <w:rPr>
                <w:rFonts w:hint="eastAsia" w:ascii="仿宋" w:hAnsi="仿宋" w:eastAsia="仿宋" w:cs="仿宋"/>
                <w:b w:val="0"/>
                <w:bCs w:val="0"/>
                <w:color w:val="auto"/>
                <w:sz w:val="21"/>
                <w:szCs w:val="21"/>
                <w:u w:val="none"/>
              </w:rPr>
              <w:br w:type="textWrapping"/>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lang w:val="en-US" w:eastAsia="zh-CN"/>
              </w:rPr>
              <w:t>28分</w:t>
            </w:r>
            <w:r>
              <w:rPr>
                <w:rFonts w:hint="eastAsia" w:ascii="仿宋" w:hAnsi="仿宋" w:eastAsia="仿宋" w:cs="仿宋"/>
                <w:b w:val="0"/>
                <w:bCs w:val="0"/>
                <w:color w:val="auto"/>
                <w:sz w:val="21"/>
                <w:szCs w:val="21"/>
                <w:u w:val="none"/>
                <w:lang w:eastAsia="zh-CN"/>
              </w:rPr>
              <w:t>）</w:t>
            </w:r>
          </w:p>
        </w:tc>
        <w:tc>
          <w:tcPr>
            <w:tcW w:w="12963" w:type="dxa"/>
            <w:gridSpan w:val="3"/>
            <w:shd w:val="clear" w:color="auto" w:fill="auto"/>
            <w:vAlign w:val="center"/>
          </w:tcPr>
          <w:p w14:paraId="75DB763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bCs/>
                <w:color w:val="auto"/>
                <w:sz w:val="21"/>
                <w:szCs w:val="21"/>
                <w:u w:val="none"/>
                <w:lang w:val="en-US" w:eastAsia="zh-CN" w:bidi="ar-SA"/>
              </w:rPr>
            </w:pPr>
            <w:r>
              <w:rPr>
                <w:rFonts w:hint="eastAsia" w:ascii="仿宋" w:hAnsi="仿宋" w:eastAsia="仿宋" w:cs="仿宋"/>
                <w:b/>
                <w:bCs/>
                <w:color w:val="auto"/>
                <w:sz w:val="21"/>
                <w:szCs w:val="21"/>
                <w:u w:val="none"/>
                <w:lang w:val="en-US" w:eastAsia="zh-CN" w:bidi="ar-SA"/>
              </w:rPr>
              <w:t>基础性指标</w:t>
            </w:r>
          </w:p>
        </w:tc>
      </w:tr>
      <w:tr w14:paraId="7FE1A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191" w:type="dxa"/>
            <w:vMerge w:val="continue"/>
            <w:vAlign w:val="center"/>
          </w:tcPr>
          <w:p w14:paraId="129C0BE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u w:val="none"/>
              </w:rPr>
            </w:pPr>
          </w:p>
        </w:tc>
        <w:tc>
          <w:tcPr>
            <w:tcW w:w="1729" w:type="dxa"/>
            <w:shd w:val="clear" w:color="auto" w:fill="auto"/>
            <w:vAlign w:val="center"/>
          </w:tcPr>
          <w:p w14:paraId="2C6EA24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课程应用与管理</w:t>
            </w:r>
          </w:p>
          <w:p w14:paraId="1DF068D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lang w:val="en-US" w:eastAsia="zh-CN"/>
              </w:rPr>
              <w:t>1分</w:t>
            </w:r>
            <w:r>
              <w:rPr>
                <w:rFonts w:hint="eastAsia" w:ascii="仿宋" w:hAnsi="仿宋" w:eastAsia="仿宋" w:cs="仿宋"/>
                <w:b w:val="0"/>
                <w:bCs w:val="0"/>
                <w:color w:val="auto"/>
                <w:sz w:val="21"/>
                <w:szCs w:val="21"/>
                <w:u w:val="none"/>
                <w:lang w:eastAsia="zh-CN"/>
              </w:rPr>
              <w:t>）</w:t>
            </w:r>
          </w:p>
        </w:tc>
        <w:tc>
          <w:tcPr>
            <w:tcW w:w="9763" w:type="dxa"/>
            <w:shd w:val="clear" w:color="auto" w:fill="auto"/>
            <w:vAlign w:val="center"/>
          </w:tcPr>
          <w:p w14:paraId="225A0A6A">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1.</w:t>
            </w:r>
            <w:r>
              <w:rPr>
                <w:rFonts w:hint="eastAsia" w:ascii="仿宋" w:hAnsi="仿宋" w:eastAsia="仿宋" w:cs="仿宋"/>
                <w:b w:val="0"/>
                <w:bCs w:val="0"/>
                <w:color w:val="auto"/>
                <w:sz w:val="21"/>
                <w:szCs w:val="21"/>
                <w:u w:val="none"/>
                <w:lang w:val="en-US" w:eastAsia="zh-CN"/>
              </w:rPr>
              <w:t>建有省级及以上在线精品课程和一流核心课程并持续运用的，评价合格得0.5分。</w:t>
            </w:r>
          </w:p>
          <w:p w14:paraId="5FB9CBA5">
            <w:pPr>
              <w:keepNext w:val="0"/>
              <w:keepLines w:val="0"/>
              <w:pageBreakBefore w:val="0"/>
              <w:widowControl w:val="0"/>
              <w:numPr>
                <w:ilvl w:val="0"/>
                <w:numId w:val="0"/>
              </w:numPr>
              <w:kinsoku/>
              <w:wordWrap/>
              <w:overflowPunct/>
              <w:topLinePunct w:val="0"/>
              <w:autoSpaceDE/>
              <w:autoSpaceDN/>
              <w:bidi w:val="0"/>
              <w:adjustRightInd/>
              <w:snapToGrid/>
              <w:spacing w:line="220" w:lineRule="exact"/>
              <w:jc w:val="both"/>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bCs/>
                <w:color w:val="auto"/>
                <w:sz w:val="21"/>
                <w:szCs w:val="21"/>
                <w:u w:val="none"/>
                <w:lang w:val="en-US" w:eastAsia="zh-CN"/>
              </w:rPr>
              <w:t>2.</w:t>
            </w:r>
            <w:r>
              <w:rPr>
                <w:rFonts w:hint="eastAsia" w:ascii="仿宋" w:hAnsi="仿宋" w:eastAsia="仿宋" w:cs="仿宋"/>
                <w:b w:val="0"/>
                <w:bCs w:val="0"/>
                <w:color w:val="auto"/>
                <w:sz w:val="21"/>
                <w:szCs w:val="21"/>
                <w:u w:val="none"/>
                <w:lang w:val="en-US" w:eastAsia="zh-CN"/>
              </w:rPr>
              <w:t>在智慧职教平台建成并在MOOC学院开课的慕课占已建成慕课比例的40%或较往年增长10%的，得0.5分；占已建成慕课比例的30%或较往年增长5%的，得0.3分；其余不得分。</w:t>
            </w:r>
          </w:p>
        </w:tc>
        <w:tc>
          <w:tcPr>
            <w:tcW w:w="1471" w:type="dxa"/>
            <w:vMerge w:val="restart"/>
            <w:shd w:val="clear" w:color="auto" w:fill="auto"/>
            <w:vAlign w:val="center"/>
          </w:tcPr>
          <w:p w14:paraId="0EAB90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rPr>
              <w:t>教务处（课程中心）</w:t>
            </w:r>
          </w:p>
        </w:tc>
      </w:tr>
      <w:tr w14:paraId="443AC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191" w:type="dxa"/>
            <w:vMerge w:val="continue"/>
          </w:tcPr>
          <w:p w14:paraId="0469D9F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u w:val="none"/>
              </w:rPr>
            </w:pPr>
          </w:p>
        </w:tc>
        <w:tc>
          <w:tcPr>
            <w:tcW w:w="1729" w:type="dxa"/>
            <w:shd w:val="clear" w:color="auto" w:fill="auto"/>
            <w:vAlign w:val="center"/>
          </w:tcPr>
          <w:p w14:paraId="33588D0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教材管理</w:t>
            </w:r>
          </w:p>
          <w:p w14:paraId="27D1A3B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lang w:val="en-US" w:eastAsia="zh-CN"/>
              </w:rPr>
              <w:t>2分</w:t>
            </w:r>
            <w:r>
              <w:rPr>
                <w:rFonts w:hint="eastAsia" w:ascii="仿宋" w:hAnsi="仿宋" w:eastAsia="仿宋" w:cs="仿宋"/>
                <w:b w:val="0"/>
                <w:bCs w:val="0"/>
                <w:color w:val="auto"/>
                <w:sz w:val="21"/>
                <w:szCs w:val="21"/>
                <w:u w:val="none"/>
                <w:lang w:eastAsia="zh-CN"/>
              </w:rPr>
              <w:t>）</w:t>
            </w:r>
          </w:p>
        </w:tc>
        <w:tc>
          <w:tcPr>
            <w:tcW w:w="9763" w:type="dxa"/>
            <w:shd w:val="clear" w:color="auto" w:fill="auto"/>
            <w:vAlign w:val="center"/>
          </w:tcPr>
          <w:p w14:paraId="25807A44">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rPr>
              <w:t>根据当年教材选用情况进行赋分。所有应订教材课程选用</w:t>
            </w:r>
            <w:r>
              <w:rPr>
                <w:rFonts w:hint="eastAsia" w:ascii="仿宋" w:hAnsi="仿宋" w:eastAsia="仿宋" w:cs="仿宋"/>
                <w:b w:val="0"/>
                <w:bCs w:val="0"/>
                <w:color w:val="auto"/>
                <w:sz w:val="21"/>
                <w:szCs w:val="21"/>
                <w:u w:val="none"/>
                <w:lang w:val="en-US" w:eastAsia="zh-CN"/>
              </w:rPr>
              <w:t>省级及以上</w:t>
            </w:r>
            <w:r>
              <w:rPr>
                <w:rFonts w:hint="eastAsia" w:ascii="仿宋" w:hAnsi="仿宋" w:eastAsia="仿宋" w:cs="仿宋"/>
                <w:b w:val="0"/>
                <w:bCs w:val="0"/>
                <w:color w:val="auto"/>
                <w:sz w:val="21"/>
                <w:szCs w:val="21"/>
                <w:u w:val="none"/>
              </w:rPr>
              <w:t>规划教材比例达到</w:t>
            </w:r>
            <w:r>
              <w:rPr>
                <w:rFonts w:hint="eastAsia" w:ascii="仿宋" w:hAnsi="仿宋" w:eastAsia="仿宋" w:cs="仿宋"/>
                <w:b w:val="0"/>
                <w:bCs w:val="0"/>
                <w:color w:val="auto"/>
                <w:sz w:val="21"/>
                <w:szCs w:val="21"/>
                <w:u w:val="none"/>
                <w:lang w:val="en-US" w:eastAsia="zh-CN"/>
              </w:rPr>
              <w:t>80</w:t>
            </w:r>
            <w:r>
              <w:rPr>
                <w:rFonts w:hint="eastAsia" w:ascii="仿宋" w:hAnsi="仿宋" w:eastAsia="仿宋" w:cs="仿宋"/>
                <w:b w:val="0"/>
                <w:bCs w:val="0"/>
                <w:color w:val="auto"/>
                <w:sz w:val="21"/>
                <w:szCs w:val="21"/>
                <w:u w:val="none"/>
              </w:rPr>
              <w:t>%</w:t>
            </w:r>
            <w:r>
              <w:rPr>
                <w:rFonts w:hint="eastAsia" w:ascii="仿宋" w:hAnsi="仿宋" w:eastAsia="仿宋" w:cs="仿宋"/>
                <w:b w:val="0"/>
                <w:bCs w:val="0"/>
                <w:color w:val="auto"/>
                <w:sz w:val="21"/>
                <w:szCs w:val="21"/>
                <w:u w:val="none"/>
                <w:lang w:val="en-US" w:eastAsia="zh-CN"/>
              </w:rPr>
              <w:t>或较往年增长10%的</w:t>
            </w:r>
            <w:r>
              <w:rPr>
                <w:rFonts w:hint="eastAsia" w:ascii="仿宋" w:hAnsi="仿宋" w:eastAsia="仿宋" w:cs="仿宋"/>
                <w:b w:val="0"/>
                <w:bCs w:val="0"/>
                <w:color w:val="auto"/>
                <w:sz w:val="21"/>
                <w:szCs w:val="21"/>
                <w:u w:val="none"/>
              </w:rPr>
              <w:t>，得</w:t>
            </w:r>
            <w:r>
              <w:rPr>
                <w:rFonts w:hint="eastAsia" w:ascii="仿宋" w:hAnsi="仿宋" w:eastAsia="仿宋" w:cs="仿宋"/>
                <w:b w:val="0"/>
                <w:bCs w:val="0"/>
                <w:color w:val="auto"/>
                <w:sz w:val="21"/>
                <w:szCs w:val="21"/>
                <w:u w:val="none"/>
                <w:lang w:val="en-US" w:eastAsia="zh-CN"/>
              </w:rPr>
              <w:t>2</w:t>
            </w:r>
            <w:r>
              <w:rPr>
                <w:rFonts w:hint="eastAsia" w:ascii="仿宋" w:hAnsi="仿宋" w:eastAsia="仿宋" w:cs="仿宋"/>
                <w:b w:val="0"/>
                <w:bCs w:val="0"/>
                <w:color w:val="auto"/>
                <w:sz w:val="21"/>
                <w:szCs w:val="21"/>
                <w:u w:val="none"/>
              </w:rPr>
              <w:t>分；选用</w:t>
            </w:r>
            <w:r>
              <w:rPr>
                <w:rFonts w:hint="eastAsia" w:ascii="仿宋" w:hAnsi="仿宋" w:eastAsia="仿宋" w:cs="仿宋"/>
                <w:b w:val="0"/>
                <w:bCs w:val="0"/>
                <w:color w:val="auto"/>
                <w:sz w:val="21"/>
                <w:szCs w:val="21"/>
                <w:u w:val="none"/>
                <w:lang w:val="en-US" w:eastAsia="zh-CN"/>
              </w:rPr>
              <w:t>省级及以上</w:t>
            </w:r>
            <w:r>
              <w:rPr>
                <w:rFonts w:hint="eastAsia" w:ascii="仿宋" w:hAnsi="仿宋" w:eastAsia="仿宋" w:cs="仿宋"/>
                <w:b w:val="0"/>
                <w:bCs w:val="0"/>
                <w:color w:val="auto"/>
                <w:sz w:val="21"/>
                <w:szCs w:val="21"/>
                <w:u w:val="none"/>
              </w:rPr>
              <w:t>规划教材比例达到</w:t>
            </w:r>
            <w:r>
              <w:rPr>
                <w:rFonts w:hint="eastAsia" w:ascii="仿宋" w:hAnsi="仿宋" w:eastAsia="仿宋" w:cs="仿宋"/>
                <w:b w:val="0"/>
                <w:bCs w:val="0"/>
                <w:color w:val="auto"/>
                <w:sz w:val="21"/>
                <w:szCs w:val="21"/>
                <w:u w:val="none"/>
                <w:lang w:val="en-US" w:eastAsia="zh-CN"/>
              </w:rPr>
              <w:t>50</w:t>
            </w:r>
            <w:r>
              <w:rPr>
                <w:rFonts w:hint="eastAsia" w:ascii="仿宋" w:hAnsi="仿宋" w:eastAsia="仿宋" w:cs="仿宋"/>
                <w:b w:val="0"/>
                <w:bCs w:val="0"/>
                <w:color w:val="auto"/>
                <w:sz w:val="21"/>
                <w:szCs w:val="21"/>
                <w:u w:val="none"/>
              </w:rPr>
              <w:t>%</w:t>
            </w:r>
            <w:r>
              <w:rPr>
                <w:rFonts w:hint="eastAsia" w:ascii="仿宋" w:hAnsi="仿宋" w:eastAsia="仿宋" w:cs="仿宋"/>
                <w:b w:val="0"/>
                <w:bCs w:val="0"/>
                <w:color w:val="auto"/>
                <w:sz w:val="21"/>
                <w:szCs w:val="21"/>
                <w:u w:val="none"/>
                <w:lang w:val="en-US" w:eastAsia="zh-CN"/>
              </w:rPr>
              <w:t>或较往年增长5%</w:t>
            </w:r>
            <w:r>
              <w:rPr>
                <w:rFonts w:hint="eastAsia" w:ascii="仿宋" w:hAnsi="仿宋" w:eastAsia="仿宋" w:cs="仿宋"/>
                <w:b w:val="0"/>
                <w:bCs w:val="0"/>
                <w:color w:val="auto"/>
                <w:sz w:val="21"/>
                <w:szCs w:val="21"/>
                <w:u w:val="none"/>
              </w:rPr>
              <w:t>的，得</w:t>
            </w:r>
            <w:r>
              <w:rPr>
                <w:rFonts w:hint="eastAsia" w:ascii="仿宋" w:hAnsi="仿宋" w:eastAsia="仿宋" w:cs="仿宋"/>
                <w:b w:val="0"/>
                <w:bCs w:val="0"/>
                <w:color w:val="auto"/>
                <w:sz w:val="21"/>
                <w:szCs w:val="21"/>
                <w:u w:val="none"/>
                <w:lang w:val="en-US" w:eastAsia="zh-CN"/>
              </w:rPr>
              <w:t>1</w:t>
            </w:r>
            <w:r>
              <w:rPr>
                <w:rFonts w:hint="eastAsia" w:ascii="仿宋" w:hAnsi="仿宋" w:eastAsia="仿宋" w:cs="仿宋"/>
                <w:b w:val="0"/>
                <w:bCs w:val="0"/>
                <w:color w:val="auto"/>
                <w:sz w:val="21"/>
                <w:szCs w:val="21"/>
                <w:u w:val="none"/>
              </w:rPr>
              <w:t>分；教材（讲义）选用未覆盖当年所有应订教材课程</w:t>
            </w:r>
            <w:r>
              <w:rPr>
                <w:rFonts w:hint="eastAsia" w:ascii="仿宋" w:hAnsi="仿宋" w:eastAsia="仿宋" w:cs="仿宋"/>
                <w:b w:val="0"/>
                <w:bCs w:val="0"/>
                <w:color w:val="auto"/>
                <w:sz w:val="21"/>
                <w:szCs w:val="21"/>
                <w:u w:val="none"/>
                <w:lang w:val="en-US" w:eastAsia="zh-CN"/>
              </w:rPr>
              <w:t>等其余情况</w:t>
            </w:r>
            <w:r>
              <w:rPr>
                <w:rFonts w:hint="eastAsia" w:ascii="仿宋" w:hAnsi="仿宋" w:eastAsia="仿宋" w:cs="仿宋"/>
                <w:b w:val="0"/>
                <w:bCs w:val="0"/>
                <w:color w:val="auto"/>
                <w:sz w:val="21"/>
                <w:szCs w:val="21"/>
                <w:u w:val="none"/>
              </w:rPr>
              <w:t>不得分。</w:t>
            </w:r>
          </w:p>
        </w:tc>
        <w:tc>
          <w:tcPr>
            <w:tcW w:w="1471" w:type="dxa"/>
            <w:vMerge w:val="continue"/>
            <w:shd w:val="clear" w:color="auto" w:fill="auto"/>
            <w:vAlign w:val="center"/>
          </w:tcPr>
          <w:p w14:paraId="7CDAD9A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u w:val="none"/>
                <w:lang w:val="en-US" w:eastAsia="zh-CN" w:bidi="ar-SA"/>
              </w:rPr>
            </w:pPr>
          </w:p>
        </w:tc>
      </w:tr>
      <w:tr w14:paraId="7CEC8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1" w:type="dxa"/>
            <w:vMerge w:val="continue"/>
          </w:tcPr>
          <w:p w14:paraId="70D3D1F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479085B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eastAsia="zh-CN"/>
              </w:rPr>
              <w:t>思政课一体化</w:t>
            </w:r>
            <w:r>
              <w:rPr>
                <w:rFonts w:hint="eastAsia" w:ascii="仿宋" w:hAnsi="仿宋" w:eastAsia="仿宋" w:cs="仿宋"/>
                <w:b w:val="0"/>
                <w:bCs w:val="0"/>
                <w:color w:val="auto"/>
                <w:sz w:val="21"/>
                <w:szCs w:val="21"/>
                <w:highlight w:val="none"/>
                <w:u w:val="none"/>
                <w:lang w:val="en-US" w:eastAsia="zh-CN"/>
              </w:rPr>
              <w:t>建设运行</w:t>
            </w:r>
          </w:p>
          <w:p w14:paraId="1E5A74B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eastAsia="zh-CN"/>
              </w:rPr>
            </w:pP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4分</w:t>
            </w:r>
            <w:r>
              <w:rPr>
                <w:rFonts w:hint="eastAsia" w:ascii="仿宋" w:hAnsi="仿宋" w:eastAsia="仿宋" w:cs="仿宋"/>
                <w:b w:val="0"/>
                <w:bCs w:val="0"/>
                <w:color w:val="auto"/>
                <w:sz w:val="21"/>
                <w:szCs w:val="21"/>
                <w:highlight w:val="none"/>
                <w:u w:val="none"/>
                <w:lang w:eastAsia="zh-CN"/>
              </w:rPr>
              <w:t>）</w:t>
            </w:r>
          </w:p>
        </w:tc>
        <w:tc>
          <w:tcPr>
            <w:tcW w:w="9763" w:type="dxa"/>
            <w:shd w:val="clear" w:color="auto" w:fill="auto"/>
            <w:vAlign w:val="center"/>
          </w:tcPr>
          <w:p w14:paraId="4F349EA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与区域中小学校开展集体备课交流4次、打造2套教案、录制完成2套示范“金课”视频（8个）得4分；开展集体备课交流2次、打造1套教案、录制完成1套示范“金课”视频（4个）得2分；开展集体备课交流2次、打造1套教案得1分；其余不得分。</w:t>
            </w:r>
          </w:p>
        </w:tc>
        <w:tc>
          <w:tcPr>
            <w:tcW w:w="1471" w:type="dxa"/>
            <w:vMerge w:val="continue"/>
            <w:shd w:val="clear" w:color="auto" w:fill="auto"/>
            <w:vAlign w:val="center"/>
          </w:tcPr>
          <w:p w14:paraId="2AE5364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p>
        </w:tc>
      </w:tr>
      <w:tr w14:paraId="0E60F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1" w:type="dxa"/>
            <w:vMerge w:val="continue"/>
          </w:tcPr>
          <w:p w14:paraId="4879B5D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68C3E94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日常教学管理</w:t>
            </w:r>
          </w:p>
          <w:p w14:paraId="22D4561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2分</w:t>
            </w:r>
            <w:r>
              <w:rPr>
                <w:rFonts w:hint="eastAsia" w:ascii="仿宋" w:hAnsi="仿宋" w:eastAsia="仿宋" w:cs="仿宋"/>
                <w:b w:val="0"/>
                <w:bCs w:val="0"/>
                <w:color w:val="auto"/>
                <w:sz w:val="21"/>
                <w:szCs w:val="21"/>
                <w:highlight w:val="none"/>
                <w:u w:val="none"/>
                <w:lang w:eastAsia="zh-CN"/>
              </w:rPr>
              <w:t>）</w:t>
            </w:r>
          </w:p>
        </w:tc>
        <w:tc>
          <w:tcPr>
            <w:tcW w:w="9763" w:type="dxa"/>
            <w:shd w:val="clear" w:color="auto" w:fill="auto"/>
            <w:vAlign w:val="center"/>
          </w:tcPr>
          <w:p w14:paraId="1119547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根据当年学院日常教学运行管理情况，按格次赋分法赋分。发生教学事故，每人次扣0.5分，直至扣完。</w:t>
            </w:r>
          </w:p>
        </w:tc>
        <w:tc>
          <w:tcPr>
            <w:tcW w:w="1471" w:type="dxa"/>
            <w:vMerge w:val="continue"/>
            <w:shd w:val="clear" w:color="auto" w:fill="auto"/>
            <w:vAlign w:val="center"/>
          </w:tcPr>
          <w:p w14:paraId="4036FD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p>
        </w:tc>
      </w:tr>
      <w:tr w14:paraId="20C67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1" w:type="dxa"/>
            <w:vMerge w:val="continue"/>
          </w:tcPr>
          <w:p w14:paraId="7D773C2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2963" w:type="dxa"/>
            <w:gridSpan w:val="3"/>
            <w:shd w:val="clear" w:color="auto" w:fill="auto"/>
            <w:vAlign w:val="center"/>
          </w:tcPr>
          <w:p w14:paraId="357B3C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rPr>
              <w:t>发展性指标</w:t>
            </w:r>
          </w:p>
        </w:tc>
      </w:tr>
      <w:tr w14:paraId="1714F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1" w:type="dxa"/>
            <w:vMerge w:val="continue"/>
          </w:tcPr>
          <w:p w14:paraId="1EFBC32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0233F04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lang w:val="en-US" w:eastAsia="zh-CN"/>
              </w:rPr>
              <w:t>课程</w:t>
            </w:r>
            <w:r>
              <w:rPr>
                <w:rFonts w:hint="eastAsia" w:ascii="仿宋" w:hAnsi="仿宋" w:eastAsia="仿宋" w:cs="仿宋"/>
                <w:b w:val="0"/>
                <w:bCs w:val="0"/>
                <w:color w:val="auto"/>
                <w:sz w:val="21"/>
                <w:szCs w:val="21"/>
                <w:highlight w:val="none"/>
                <w:u w:val="none"/>
              </w:rPr>
              <w:t>建设成效</w:t>
            </w:r>
          </w:p>
          <w:p w14:paraId="4E28B9D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3分</w:t>
            </w:r>
            <w:r>
              <w:rPr>
                <w:rFonts w:hint="eastAsia" w:ascii="仿宋" w:hAnsi="仿宋" w:eastAsia="仿宋" w:cs="仿宋"/>
                <w:b w:val="0"/>
                <w:bCs w:val="0"/>
                <w:color w:val="auto"/>
                <w:sz w:val="21"/>
                <w:szCs w:val="21"/>
                <w:highlight w:val="none"/>
                <w:u w:val="none"/>
                <w:lang w:eastAsia="zh-CN"/>
              </w:rPr>
              <w:t>）</w:t>
            </w:r>
          </w:p>
        </w:tc>
        <w:tc>
          <w:tcPr>
            <w:tcW w:w="9763" w:type="dxa"/>
            <w:shd w:val="clear" w:color="auto" w:fill="auto"/>
            <w:vAlign w:val="center"/>
          </w:tcPr>
          <w:p w14:paraId="2B87F6E9">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kern w:val="0"/>
                <w:sz w:val="21"/>
                <w:szCs w:val="21"/>
                <w:highlight w:val="none"/>
                <w:u w:val="none"/>
                <w:lang w:val="en-US" w:eastAsia="zh-CN" w:bidi="ar"/>
                <w:woUserID w:val="2"/>
              </w:rPr>
            </w:pPr>
            <w:r>
              <w:rPr>
                <w:rFonts w:hint="eastAsia" w:ascii="仿宋" w:hAnsi="仿宋" w:eastAsia="仿宋" w:cs="仿宋"/>
                <w:b w:val="0"/>
                <w:bCs w:val="0"/>
                <w:color w:val="auto"/>
                <w:sz w:val="21"/>
                <w:szCs w:val="21"/>
                <w:highlight w:val="none"/>
                <w:u w:val="none"/>
                <w:lang w:val="en-US" w:eastAsia="zh-CN"/>
              </w:rPr>
              <w:t>主持在线精品课程、专业教学资源库、虚拟仿真基地建设等，认定省级及以上为A；参与以上项目建设，认定省级及以上为B；主持或参与以上项目建设，认定市级为C；其余不得分。</w:t>
            </w:r>
          </w:p>
        </w:tc>
        <w:tc>
          <w:tcPr>
            <w:tcW w:w="1471" w:type="dxa"/>
            <w:vMerge w:val="restart"/>
            <w:shd w:val="clear" w:color="auto" w:fill="auto"/>
            <w:vAlign w:val="center"/>
          </w:tcPr>
          <w:p w14:paraId="5F8102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教务处（课程中心）</w:t>
            </w:r>
          </w:p>
        </w:tc>
      </w:tr>
      <w:tr w14:paraId="78BC5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1191" w:type="dxa"/>
            <w:vMerge w:val="continue"/>
          </w:tcPr>
          <w:p w14:paraId="3F2C7BFD">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67DFB60B">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教材建设</w:t>
            </w:r>
          </w:p>
          <w:p w14:paraId="0D7EAC2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eastAsia="zh-CN"/>
              </w:rPr>
            </w:pP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2分</w:t>
            </w:r>
            <w:r>
              <w:rPr>
                <w:rFonts w:hint="eastAsia" w:ascii="仿宋" w:hAnsi="仿宋" w:eastAsia="仿宋" w:cs="仿宋"/>
                <w:b w:val="0"/>
                <w:bCs w:val="0"/>
                <w:color w:val="auto"/>
                <w:sz w:val="21"/>
                <w:szCs w:val="21"/>
                <w:highlight w:val="none"/>
                <w:u w:val="none"/>
                <w:lang w:eastAsia="zh-CN"/>
              </w:rPr>
              <w:t>）</w:t>
            </w:r>
          </w:p>
        </w:tc>
        <w:tc>
          <w:tcPr>
            <w:tcW w:w="9763" w:type="dxa"/>
            <w:shd w:val="clear" w:color="auto" w:fill="auto"/>
            <w:vAlign w:val="center"/>
          </w:tcPr>
          <w:p w14:paraId="6A0C8413">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kern w:val="0"/>
                <w:sz w:val="21"/>
                <w:szCs w:val="21"/>
                <w:highlight w:val="none"/>
                <w:u w:val="none"/>
                <w:lang w:val="en-US" w:eastAsia="zh-CN" w:bidi="ar"/>
                <w:woUserID w:val="2"/>
              </w:rPr>
            </w:pPr>
            <w:r>
              <w:rPr>
                <w:rFonts w:hint="eastAsia" w:ascii="仿宋" w:hAnsi="仿宋" w:eastAsia="仿宋" w:cs="仿宋"/>
                <w:b w:val="0"/>
                <w:bCs w:val="0"/>
                <w:color w:val="auto"/>
                <w:sz w:val="21"/>
                <w:szCs w:val="21"/>
                <w:highlight w:val="none"/>
                <w:u w:val="none"/>
                <w:lang w:val="en-US" w:eastAsia="zh-CN"/>
              </w:rPr>
              <w:t>获国家级规划教材建设项目为A；获省级重点教材建设项目2部及以上为B；获校级以上教材建设项目5部及以上为C；其余不得分。</w:t>
            </w:r>
          </w:p>
        </w:tc>
        <w:tc>
          <w:tcPr>
            <w:tcW w:w="1471" w:type="dxa"/>
            <w:vMerge w:val="continue"/>
            <w:shd w:val="clear" w:color="auto" w:fill="auto"/>
            <w:vAlign w:val="top"/>
          </w:tcPr>
          <w:p w14:paraId="0199E1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p>
        </w:tc>
      </w:tr>
      <w:tr w14:paraId="76AB9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191" w:type="dxa"/>
            <w:vMerge w:val="continue"/>
          </w:tcPr>
          <w:p w14:paraId="266D1DA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2D51654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教学成果与案例</w:t>
            </w:r>
          </w:p>
          <w:p w14:paraId="652D493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3分</w:t>
            </w:r>
            <w:r>
              <w:rPr>
                <w:rFonts w:hint="eastAsia" w:ascii="仿宋" w:hAnsi="仿宋" w:eastAsia="仿宋" w:cs="仿宋"/>
                <w:b w:val="0"/>
                <w:bCs w:val="0"/>
                <w:color w:val="auto"/>
                <w:sz w:val="21"/>
                <w:szCs w:val="21"/>
                <w:highlight w:val="none"/>
                <w:u w:val="none"/>
                <w:lang w:eastAsia="zh-CN"/>
              </w:rPr>
              <w:t>）</w:t>
            </w:r>
          </w:p>
        </w:tc>
        <w:tc>
          <w:tcPr>
            <w:tcW w:w="9763" w:type="dxa"/>
            <w:shd w:val="clear" w:color="auto" w:fill="auto"/>
            <w:vAlign w:val="center"/>
          </w:tcPr>
          <w:p w14:paraId="49996648">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教学成果奖或优秀教材奖获国家级或省级一等奖及以上为A；教学成果奖或优秀教材奖获省级二等奖，教学优秀案例或课程思政教学案例获国家级为B；教学成果奖或优秀教材奖获市级、教学优秀案例或课程思政教学案例获省级为C；其余不得分。</w:t>
            </w:r>
          </w:p>
        </w:tc>
        <w:tc>
          <w:tcPr>
            <w:tcW w:w="1471" w:type="dxa"/>
            <w:vMerge w:val="continue"/>
            <w:shd w:val="clear" w:color="auto" w:fill="auto"/>
            <w:vAlign w:val="center"/>
          </w:tcPr>
          <w:p w14:paraId="2FDE80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p>
        </w:tc>
      </w:tr>
      <w:tr w14:paraId="53EB4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191" w:type="dxa"/>
            <w:vMerge w:val="continue"/>
          </w:tcPr>
          <w:p w14:paraId="0EBBA86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7303D70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lang w:val="en-US" w:eastAsia="zh-CN"/>
              </w:rPr>
              <w:t>指导</w:t>
            </w:r>
            <w:r>
              <w:rPr>
                <w:rFonts w:hint="eastAsia" w:ascii="仿宋" w:hAnsi="仿宋" w:eastAsia="仿宋" w:cs="仿宋"/>
                <w:b w:val="0"/>
                <w:bCs w:val="0"/>
                <w:color w:val="auto"/>
                <w:sz w:val="21"/>
                <w:szCs w:val="21"/>
                <w:highlight w:val="none"/>
                <w:u w:val="none"/>
              </w:rPr>
              <w:t>学生比赛</w:t>
            </w:r>
          </w:p>
          <w:p w14:paraId="25897A4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4分</w:t>
            </w:r>
            <w:r>
              <w:rPr>
                <w:rFonts w:hint="eastAsia" w:ascii="仿宋" w:hAnsi="仿宋" w:eastAsia="仿宋" w:cs="仿宋"/>
                <w:b w:val="0"/>
                <w:bCs w:val="0"/>
                <w:color w:val="auto"/>
                <w:sz w:val="21"/>
                <w:szCs w:val="21"/>
                <w:highlight w:val="none"/>
                <w:u w:val="none"/>
                <w:lang w:eastAsia="zh-CN"/>
              </w:rPr>
              <w:t>）</w:t>
            </w:r>
          </w:p>
        </w:tc>
        <w:tc>
          <w:tcPr>
            <w:tcW w:w="9763" w:type="dxa"/>
            <w:shd w:val="clear" w:color="auto" w:fill="auto"/>
            <w:vAlign w:val="center"/>
          </w:tcPr>
          <w:p w14:paraId="2AE15BE0">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u w:val="none"/>
                <w:lang w:val="en-US" w:eastAsia="zh-CN"/>
              </w:rPr>
              <w:t>依据A类学生技能竞赛获奖情况，按格次赋分法赋分。</w:t>
            </w:r>
          </w:p>
        </w:tc>
        <w:tc>
          <w:tcPr>
            <w:tcW w:w="1471" w:type="dxa"/>
            <w:vMerge w:val="continue"/>
            <w:shd w:val="clear" w:color="auto" w:fill="auto"/>
            <w:vAlign w:val="top"/>
          </w:tcPr>
          <w:p w14:paraId="3E28D55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p>
        </w:tc>
      </w:tr>
      <w:tr w14:paraId="2B2E6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191" w:type="dxa"/>
            <w:vMerge w:val="continue"/>
          </w:tcPr>
          <w:p w14:paraId="5178E85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0620533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教学能力比赛</w:t>
            </w:r>
            <w:r>
              <w:rPr>
                <w:rFonts w:hint="eastAsia" w:ascii="仿宋" w:hAnsi="仿宋" w:eastAsia="仿宋" w:cs="仿宋"/>
                <w:b w:val="0"/>
                <w:bCs w:val="0"/>
                <w:color w:val="auto"/>
                <w:sz w:val="21"/>
                <w:szCs w:val="21"/>
                <w:highlight w:val="none"/>
                <w:u w:val="none"/>
                <w:lang w:val="en-US" w:eastAsia="zh-CN"/>
              </w:rPr>
              <w:t>/青年教师教学竞赛</w:t>
            </w: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4分</w:t>
            </w:r>
            <w:r>
              <w:rPr>
                <w:rFonts w:hint="eastAsia" w:ascii="仿宋" w:hAnsi="仿宋" w:eastAsia="仿宋" w:cs="仿宋"/>
                <w:b w:val="0"/>
                <w:bCs w:val="0"/>
                <w:color w:val="auto"/>
                <w:sz w:val="21"/>
                <w:szCs w:val="21"/>
                <w:highlight w:val="none"/>
                <w:u w:val="none"/>
                <w:lang w:eastAsia="zh-CN"/>
              </w:rPr>
              <w:t>）</w:t>
            </w:r>
          </w:p>
        </w:tc>
        <w:tc>
          <w:tcPr>
            <w:tcW w:w="9763" w:type="dxa"/>
            <w:shd w:val="clear" w:color="auto" w:fill="auto"/>
            <w:vAlign w:val="center"/>
          </w:tcPr>
          <w:p w14:paraId="0677B2FF">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获省级一等奖及以上为A；获省级二、三等奖为B；获市级奖项为C；其余不得分。跨学院组队的分值分配由负责人决定。</w:t>
            </w:r>
          </w:p>
        </w:tc>
        <w:tc>
          <w:tcPr>
            <w:tcW w:w="1471" w:type="dxa"/>
            <w:shd w:val="clear" w:color="auto" w:fill="auto"/>
            <w:vAlign w:val="center"/>
          </w:tcPr>
          <w:p w14:paraId="5CF8007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教务处（课程中心）/工会</w:t>
            </w:r>
          </w:p>
        </w:tc>
      </w:tr>
      <w:tr w14:paraId="23FB2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1" w:type="dxa"/>
            <w:vMerge w:val="continue"/>
          </w:tcPr>
          <w:p w14:paraId="4D899EB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2485FC0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教学改革（2分）</w:t>
            </w:r>
          </w:p>
        </w:tc>
        <w:tc>
          <w:tcPr>
            <w:tcW w:w="9763" w:type="dxa"/>
            <w:shd w:val="clear" w:color="auto" w:fill="auto"/>
            <w:vAlign w:val="center"/>
          </w:tcPr>
          <w:p w14:paraId="5817AD08">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教学改革项目获国家级为A；省级为B；市级为C；其余不得分。</w:t>
            </w:r>
          </w:p>
        </w:tc>
        <w:tc>
          <w:tcPr>
            <w:tcW w:w="1471" w:type="dxa"/>
            <w:vMerge w:val="restart"/>
            <w:shd w:val="clear" w:color="auto" w:fill="auto"/>
            <w:vAlign w:val="top"/>
          </w:tcPr>
          <w:p w14:paraId="18A9ED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p>
          <w:p w14:paraId="4FAFEF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教务处（课程中心）</w:t>
            </w:r>
          </w:p>
          <w:p w14:paraId="12D5F7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p>
        </w:tc>
      </w:tr>
      <w:tr w14:paraId="03F71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1" w:type="dxa"/>
            <w:vMerge w:val="continue"/>
          </w:tcPr>
          <w:p w14:paraId="63C423C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20CA5D3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现场教学</w:t>
            </w:r>
          </w:p>
          <w:p w14:paraId="23EA596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（1分）</w:t>
            </w:r>
          </w:p>
        </w:tc>
        <w:tc>
          <w:tcPr>
            <w:tcW w:w="9763" w:type="dxa"/>
            <w:shd w:val="clear" w:color="auto" w:fill="auto"/>
            <w:vAlign w:val="center"/>
          </w:tcPr>
          <w:p w14:paraId="5F61E375">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现场教学课堂获评优秀为A；其余不得分。</w:t>
            </w:r>
          </w:p>
        </w:tc>
        <w:tc>
          <w:tcPr>
            <w:tcW w:w="1471" w:type="dxa"/>
            <w:vMerge w:val="continue"/>
            <w:shd w:val="clear" w:color="auto" w:fill="auto"/>
            <w:vAlign w:val="top"/>
          </w:tcPr>
          <w:p w14:paraId="03CE55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p>
        </w:tc>
      </w:tr>
      <w:tr w14:paraId="1CF4F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vMerge w:val="restart"/>
          </w:tcPr>
          <w:p w14:paraId="0572619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p w14:paraId="3FE7824B">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p w14:paraId="31617825">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lang w:val="en-US" w:eastAsia="zh-CN"/>
              </w:rPr>
              <w:t>2.</w:t>
            </w:r>
            <w:r>
              <w:rPr>
                <w:rFonts w:hint="eastAsia" w:ascii="仿宋" w:hAnsi="仿宋" w:eastAsia="仿宋" w:cs="仿宋"/>
                <w:b w:val="0"/>
                <w:bCs w:val="0"/>
                <w:color w:val="auto"/>
                <w:sz w:val="21"/>
                <w:szCs w:val="21"/>
                <w:highlight w:val="none"/>
                <w:u w:val="none"/>
              </w:rPr>
              <w:t>人才贯通培养</w:t>
            </w:r>
          </w:p>
          <w:p w14:paraId="4A72A899">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18分</w:t>
            </w:r>
            <w:r>
              <w:rPr>
                <w:rFonts w:hint="eastAsia" w:ascii="仿宋" w:hAnsi="仿宋" w:eastAsia="仿宋" w:cs="仿宋"/>
                <w:b w:val="0"/>
                <w:bCs w:val="0"/>
                <w:color w:val="auto"/>
                <w:sz w:val="21"/>
                <w:szCs w:val="21"/>
                <w:highlight w:val="none"/>
                <w:u w:val="none"/>
                <w:lang w:eastAsia="zh-CN"/>
              </w:rPr>
              <w:t>）</w:t>
            </w:r>
          </w:p>
          <w:p w14:paraId="5FC57D2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2963" w:type="dxa"/>
            <w:gridSpan w:val="3"/>
            <w:shd w:val="clear" w:color="auto" w:fill="auto"/>
            <w:vAlign w:val="center"/>
          </w:tcPr>
          <w:p w14:paraId="11F6D76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rPr>
              <w:t>基础性指标</w:t>
            </w:r>
          </w:p>
        </w:tc>
      </w:tr>
      <w:tr w14:paraId="062C9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191" w:type="dxa"/>
            <w:vMerge w:val="continue"/>
          </w:tcPr>
          <w:p w14:paraId="4FEF67EB">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408E42B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bidi="ar-SA"/>
              </w:rPr>
              <w:t>思想引领</w:t>
            </w:r>
          </w:p>
          <w:p w14:paraId="3C7A0770">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bidi="ar-SA"/>
              </w:rPr>
              <w:t>（6分）</w:t>
            </w:r>
          </w:p>
        </w:tc>
        <w:tc>
          <w:tcPr>
            <w:tcW w:w="9763" w:type="dxa"/>
            <w:shd w:val="clear" w:color="auto" w:fill="auto"/>
            <w:vAlign w:val="center"/>
          </w:tcPr>
          <w:p w14:paraId="44907DC7">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firstLine="0" w:firstLineChars="0"/>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bCs/>
                <w:color w:val="auto"/>
                <w:sz w:val="21"/>
                <w:szCs w:val="21"/>
                <w:highlight w:val="none"/>
                <w:u w:val="none"/>
                <w:lang w:val="en-US" w:eastAsia="zh-CN" w:bidi="ar-SA"/>
              </w:rPr>
              <w:t>1.</w:t>
            </w:r>
            <w:r>
              <w:rPr>
                <w:rFonts w:hint="eastAsia" w:ascii="仿宋" w:hAnsi="仿宋" w:eastAsia="仿宋" w:cs="仿宋"/>
                <w:b w:val="0"/>
                <w:bCs w:val="0"/>
                <w:color w:val="auto"/>
                <w:sz w:val="21"/>
                <w:szCs w:val="21"/>
                <w:highlight w:val="none"/>
                <w:u w:val="none"/>
                <w:lang w:val="en-US" w:eastAsia="zh-CN" w:bidi="ar-SA"/>
              </w:rPr>
              <w:t>青年思政课教师承担学校党校课程以及担任青马导师人次达到青年思政教师数90%及以上得3分，达到80%及以上得2分，达到60%及以上的1分；</w:t>
            </w:r>
          </w:p>
          <w:p w14:paraId="33962344">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firstLine="0" w:firstLineChars="0"/>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bCs/>
                <w:color w:val="auto"/>
                <w:sz w:val="21"/>
                <w:szCs w:val="21"/>
                <w:highlight w:val="none"/>
                <w:u w:val="none"/>
                <w:lang w:val="en-US" w:eastAsia="zh-CN" w:bidi="ar-SA"/>
              </w:rPr>
              <w:t>2.</w:t>
            </w:r>
            <w:r>
              <w:rPr>
                <w:rFonts w:hint="eastAsia" w:ascii="仿宋" w:hAnsi="仿宋" w:eastAsia="仿宋" w:cs="仿宋"/>
                <w:b w:val="0"/>
                <w:bCs w:val="0"/>
                <w:color w:val="auto"/>
                <w:sz w:val="21"/>
                <w:szCs w:val="21"/>
                <w:highlight w:val="none"/>
                <w:u w:val="none"/>
                <w:lang w:val="en-US" w:eastAsia="zh-CN" w:bidi="ar-SA"/>
              </w:rPr>
              <w:t>在社团建设中（参与评价社团是指所在单位教师以第一指导教师身份指导的社团），当年度五星级社团占马克思主义学院参与评价社团数的</w:t>
            </w:r>
            <w:r>
              <w:rPr>
                <w:rFonts w:hint="eastAsia" w:ascii="仿宋" w:hAnsi="仿宋" w:eastAsia="仿宋" w:cs="仿宋"/>
                <w:b w:val="0"/>
                <w:bCs w:val="0"/>
                <w:color w:val="auto"/>
                <w:sz w:val="21"/>
                <w:szCs w:val="21"/>
                <w:highlight w:val="none"/>
                <w:u w:val="none"/>
                <w:shd w:val="clear" w:color="auto" w:fill="auto"/>
                <w:lang w:val="en-US" w:eastAsia="zh-CN" w:bidi="ar-SA"/>
              </w:rPr>
              <w:t>40%</w:t>
            </w:r>
            <w:r>
              <w:rPr>
                <w:rFonts w:hint="eastAsia" w:ascii="仿宋" w:hAnsi="仿宋" w:eastAsia="仿宋" w:cs="仿宋"/>
                <w:b w:val="0"/>
                <w:bCs w:val="0"/>
                <w:color w:val="auto"/>
                <w:sz w:val="21"/>
                <w:szCs w:val="21"/>
                <w:highlight w:val="none"/>
                <w:u w:val="none"/>
                <w:lang w:val="en-US" w:eastAsia="zh-CN" w:bidi="ar-SA"/>
              </w:rPr>
              <w:t>及以上得3分；四星级及以上社团占比90%及以上得2分；三星级及以上社团占比100%得1分；其余不得分。（小数取整计算）</w:t>
            </w:r>
          </w:p>
        </w:tc>
        <w:tc>
          <w:tcPr>
            <w:tcW w:w="1471" w:type="dxa"/>
            <w:shd w:val="clear" w:color="auto" w:fill="auto"/>
            <w:vAlign w:val="center"/>
          </w:tcPr>
          <w:p w14:paraId="2C1EC68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团委</w:t>
            </w:r>
          </w:p>
        </w:tc>
      </w:tr>
      <w:tr w14:paraId="27D06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1" w:type="dxa"/>
            <w:vMerge w:val="continue"/>
          </w:tcPr>
          <w:p w14:paraId="7CC82D70">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4A9C116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eastAsia="zh-CN"/>
              </w:rPr>
              <w:t>思政教师进学生社区（</w:t>
            </w:r>
            <w:r>
              <w:rPr>
                <w:rFonts w:hint="eastAsia" w:ascii="仿宋" w:hAnsi="仿宋" w:eastAsia="仿宋" w:cs="仿宋"/>
                <w:b w:val="0"/>
                <w:bCs w:val="0"/>
                <w:color w:val="auto"/>
                <w:sz w:val="21"/>
                <w:szCs w:val="21"/>
                <w:highlight w:val="none"/>
                <w:u w:val="none"/>
                <w:lang w:val="en-US" w:eastAsia="zh-CN"/>
              </w:rPr>
              <w:t>4分</w:t>
            </w:r>
            <w:r>
              <w:rPr>
                <w:rFonts w:hint="eastAsia" w:ascii="仿宋" w:hAnsi="仿宋" w:eastAsia="仿宋" w:cs="仿宋"/>
                <w:b w:val="0"/>
                <w:bCs w:val="0"/>
                <w:color w:val="auto"/>
                <w:sz w:val="21"/>
                <w:szCs w:val="21"/>
                <w:highlight w:val="none"/>
                <w:u w:val="none"/>
                <w:lang w:eastAsia="zh-CN"/>
              </w:rPr>
              <w:t>）</w:t>
            </w:r>
          </w:p>
        </w:tc>
        <w:tc>
          <w:tcPr>
            <w:tcW w:w="9763" w:type="dxa"/>
            <w:shd w:val="clear" w:color="auto" w:fill="auto"/>
            <w:vAlign w:val="center"/>
          </w:tcPr>
          <w:p w14:paraId="41C17CC9">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eastAsia="zh-CN"/>
              </w:rPr>
              <w:t>组织开展面向学生的思政讲堂、座谈交流或政策答疑，开展</w:t>
            </w:r>
            <w:r>
              <w:rPr>
                <w:rFonts w:hint="eastAsia" w:ascii="仿宋" w:hAnsi="仿宋" w:eastAsia="仿宋" w:cs="仿宋"/>
                <w:b w:val="0"/>
                <w:bCs w:val="0"/>
                <w:color w:val="auto"/>
                <w:sz w:val="21"/>
                <w:szCs w:val="21"/>
                <w:highlight w:val="none"/>
                <w:u w:val="none"/>
                <w:lang w:val="en-US" w:eastAsia="zh-CN"/>
              </w:rPr>
              <w:t>1次得1分。</w:t>
            </w:r>
          </w:p>
        </w:tc>
        <w:tc>
          <w:tcPr>
            <w:tcW w:w="1471" w:type="dxa"/>
            <w:shd w:val="clear" w:color="auto" w:fill="auto"/>
            <w:vAlign w:val="center"/>
          </w:tcPr>
          <w:p w14:paraId="57CAC4A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sz w:val="21"/>
                <w:szCs w:val="21"/>
                <w:highlight w:val="none"/>
                <w:u w:val="none"/>
              </w:rPr>
            </w:pPr>
            <w:r>
              <w:rPr>
                <w:rFonts w:hint="eastAsia" w:ascii="仿宋" w:hAnsi="仿宋" w:eastAsia="仿宋" w:cs="仿宋"/>
                <w:b w:val="0"/>
                <w:bCs w:val="0"/>
                <w:color w:val="auto"/>
                <w:sz w:val="21"/>
                <w:szCs w:val="21"/>
                <w:highlight w:val="none"/>
                <w:u w:val="none"/>
              </w:rPr>
              <w:t>学生工作部（学生处）</w:t>
            </w:r>
          </w:p>
        </w:tc>
      </w:tr>
      <w:tr w14:paraId="562EA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1" w:type="dxa"/>
            <w:vMerge w:val="continue"/>
          </w:tcPr>
          <w:p w14:paraId="569C1EDB">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50E054B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bidi="ar-SA"/>
              </w:rPr>
              <w:t>思政宣讲比赛</w:t>
            </w:r>
          </w:p>
          <w:p w14:paraId="4ECC0F20">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bidi="ar-SA"/>
              </w:rPr>
              <w:t>（4分）</w:t>
            </w:r>
          </w:p>
        </w:tc>
        <w:tc>
          <w:tcPr>
            <w:tcW w:w="9763" w:type="dxa"/>
            <w:shd w:val="clear" w:color="auto" w:fill="auto"/>
            <w:vAlign w:val="center"/>
          </w:tcPr>
          <w:p w14:paraId="56CDF091">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教师本人或</w:t>
            </w:r>
            <w:r>
              <w:rPr>
                <w:rFonts w:hint="eastAsia" w:ascii="仿宋" w:hAnsi="仿宋" w:eastAsia="仿宋" w:cs="仿宋"/>
                <w:b w:val="0"/>
                <w:bCs w:val="0"/>
                <w:color w:val="auto"/>
                <w:sz w:val="21"/>
                <w:szCs w:val="21"/>
                <w:highlight w:val="none"/>
                <w:u w:val="none"/>
                <w:lang w:eastAsia="zh-CN"/>
                <w:woUserID w:val="1"/>
              </w:rPr>
              <w:t>以第一指导教师身份</w:t>
            </w:r>
            <w:r>
              <w:rPr>
                <w:rFonts w:hint="eastAsia" w:ascii="仿宋" w:hAnsi="仿宋" w:eastAsia="仿宋" w:cs="仿宋"/>
                <w:b w:val="0"/>
                <w:bCs w:val="0"/>
                <w:color w:val="auto"/>
                <w:sz w:val="21"/>
                <w:szCs w:val="21"/>
                <w:highlight w:val="none"/>
                <w:u w:val="none"/>
                <w:lang w:val="en-US" w:eastAsia="zh-CN"/>
              </w:rPr>
              <w:t>指导学生参加校级思政</w:t>
            </w:r>
            <w:r>
              <w:rPr>
                <w:rFonts w:hint="eastAsia" w:ascii="仿宋" w:hAnsi="仿宋" w:eastAsia="仿宋" w:cs="仿宋"/>
                <w:b w:val="0"/>
                <w:bCs w:val="0"/>
                <w:color w:val="auto"/>
                <w:sz w:val="21"/>
                <w:szCs w:val="21"/>
                <w:highlight w:val="none"/>
                <w:u w:val="none"/>
                <w:lang w:eastAsia="zh-CN"/>
                <w:woUserID w:val="1"/>
              </w:rPr>
              <w:t>宣讲</w:t>
            </w:r>
            <w:r>
              <w:rPr>
                <w:rFonts w:hint="eastAsia" w:ascii="仿宋" w:hAnsi="仿宋" w:eastAsia="仿宋" w:cs="仿宋"/>
                <w:b w:val="0"/>
                <w:bCs w:val="0"/>
                <w:color w:val="auto"/>
                <w:sz w:val="21"/>
                <w:szCs w:val="21"/>
                <w:highlight w:val="none"/>
                <w:u w:val="none"/>
                <w:lang w:val="en-US" w:eastAsia="zh-CN"/>
              </w:rPr>
              <w:t>类</w:t>
            </w:r>
            <w:r>
              <w:rPr>
                <w:rFonts w:hint="eastAsia" w:ascii="仿宋" w:hAnsi="仿宋" w:eastAsia="仿宋" w:cs="仿宋"/>
                <w:b w:val="0"/>
                <w:bCs w:val="0"/>
                <w:color w:val="auto"/>
                <w:sz w:val="21"/>
                <w:szCs w:val="21"/>
                <w:highlight w:val="none"/>
                <w:u w:val="none"/>
                <w:lang w:eastAsia="zh-CN"/>
                <w:woUserID w:val="1"/>
              </w:rPr>
              <w:t>比赛</w:t>
            </w:r>
            <w:r>
              <w:rPr>
                <w:rFonts w:hint="eastAsia" w:ascii="仿宋" w:hAnsi="仿宋" w:eastAsia="仿宋" w:cs="仿宋"/>
                <w:b w:val="0"/>
                <w:bCs w:val="0"/>
                <w:color w:val="auto"/>
                <w:sz w:val="21"/>
                <w:szCs w:val="21"/>
                <w:highlight w:val="none"/>
                <w:u w:val="none"/>
                <w:lang w:val="en-US" w:eastAsia="zh-CN"/>
                <w:woUserID w:val="1"/>
              </w:rPr>
              <w:t>或社会实践等项目</w:t>
            </w:r>
            <w:r>
              <w:rPr>
                <w:rFonts w:hint="eastAsia" w:ascii="仿宋" w:hAnsi="仿宋" w:eastAsia="仿宋" w:cs="仿宋"/>
                <w:b w:val="0"/>
                <w:bCs w:val="0"/>
                <w:color w:val="auto"/>
                <w:sz w:val="21"/>
                <w:szCs w:val="21"/>
                <w:highlight w:val="none"/>
                <w:u w:val="none"/>
                <w:lang w:val="en-US" w:eastAsia="zh-CN"/>
              </w:rPr>
              <w:t>加0.5分/名；</w:t>
            </w:r>
            <w:r>
              <w:rPr>
                <w:rFonts w:hint="eastAsia" w:ascii="仿宋" w:hAnsi="仿宋" w:eastAsia="仿宋" w:cs="仿宋"/>
                <w:b w:val="0"/>
                <w:bCs w:val="0"/>
                <w:color w:val="auto"/>
                <w:sz w:val="21"/>
                <w:szCs w:val="21"/>
                <w:highlight w:val="none"/>
                <w:u w:val="none"/>
                <w:lang w:eastAsia="zh-CN"/>
                <w:woUserID w:val="1"/>
              </w:rPr>
              <w:t>被</w:t>
            </w:r>
            <w:r>
              <w:rPr>
                <w:rFonts w:hint="eastAsia" w:ascii="仿宋" w:hAnsi="仿宋" w:eastAsia="仿宋" w:cs="仿宋"/>
                <w:b w:val="0"/>
                <w:bCs w:val="0"/>
                <w:color w:val="auto"/>
                <w:sz w:val="21"/>
                <w:szCs w:val="21"/>
                <w:highlight w:val="none"/>
                <w:u w:val="none"/>
                <w:lang w:val="en-US" w:eastAsia="zh-CN"/>
              </w:rPr>
              <w:t>推荐参加</w:t>
            </w:r>
            <w:r>
              <w:rPr>
                <w:rFonts w:hint="eastAsia" w:ascii="仿宋" w:hAnsi="仿宋" w:eastAsia="仿宋" w:cs="仿宋"/>
                <w:b w:val="0"/>
                <w:bCs w:val="0"/>
                <w:color w:val="auto"/>
                <w:sz w:val="21"/>
                <w:szCs w:val="21"/>
                <w:highlight w:val="none"/>
                <w:u w:val="none"/>
                <w:lang w:eastAsia="zh-CN"/>
                <w:woUserID w:val="1"/>
              </w:rPr>
              <w:t>市</w:t>
            </w:r>
            <w:r>
              <w:rPr>
                <w:rFonts w:hint="eastAsia" w:ascii="仿宋" w:hAnsi="仿宋" w:eastAsia="仿宋" w:cs="仿宋"/>
                <w:b w:val="0"/>
                <w:bCs w:val="0"/>
                <w:color w:val="auto"/>
                <w:sz w:val="21"/>
                <w:szCs w:val="21"/>
                <w:highlight w:val="none"/>
                <w:u w:val="none"/>
                <w:lang w:val="en-US" w:eastAsia="zh-CN"/>
              </w:rPr>
              <w:t>级及以上思政</w:t>
            </w:r>
            <w:r>
              <w:rPr>
                <w:rFonts w:hint="eastAsia" w:ascii="仿宋" w:hAnsi="仿宋" w:eastAsia="仿宋" w:cs="仿宋"/>
                <w:b w:val="0"/>
                <w:bCs w:val="0"/>
                <w:color w:val="auto"/>
                <w:sz w:val="21"/>
                <w:szCs w:val="21"/>
                <w:highlight w:val="none"/>
                <w:u w:val="none"/>
                <w:lang w:eastAsia="zh-CN"/>
                <w:woUserID w:val="1"/>
              </w:rPr>
              <w:t>宣讲</w:t>
            </w:r>
            <w:r>
              <w:rPr>
                <w:rFonts w:hint="eastAsia" w:ascii="仿宋" w:hAnsi="仿宋" w:eastAsia="仿宋" w:cs="仿宋"/>
                <w:b w:val="0"/>
                <w:bCs w:val="0"/>
                <w:color w:val="auto"/>
                <w:sz w:val="21"/>
                <w:szCs w:val="21"/>
                <w:highlight w:val="none"/>
                <w:u w:val="none"/>
                <w:lang w:val="en-US" w:eastAsia="zh-CN"/>
              </w:rPr>
              <w:t>类</w:t>
            </w:r>
            <w:r>
              <w:rPr>
                <w:rFonts w:hint="eastAsia" w:ascii="仿宋" w:hAnsi="仿宋" w:eastAsia="仿宋" w:cs="仿宋"/>
                <w:b w:val="0"/>
                <w:bCs w:val="0"/>
                <w:color w:val="auto"/>
                <w:sz w:val="21"/>
                <w:szCs w:val="21"/>
                <w:highlight w:val="none"/>
                <w:u w:val="none"/>
                <w:lang w:eastAsia="zh-CN"/>
                <w:woUserID w:val="1"/>
              </w:rPr>
              <w:t>比赛的，参</w:t>
            </w:r>
            <w:r>
              <w:rPr>
                <w:rFonts w:hint="eastAsia" w:ascii="仿宋" w:hAnsi="仿宋" w:eastAsia="仿宋" w:cs="仿宋"/>
                <w:b w:val="0"/>
                <w:bCs w:val="0"/>
                <w:color w:val="auto"/>
                <w:sz w:val="21"/>
                <w:szCs w:val="21"/>
                <w:highlight w:val="none"/>
                <w:u w:val="none"/>
                <w:lang w:val="en-US" w:eastAsia="zh-CN"/>
              </w:rPr>
              <w:t>加1分/名</w:t>
            </w:r>
            <w:r>
              <w:rPr>
                <w:rFonts w:hint="eastAsia" w:ascii="仿宋" w:hAnsi="仿宋" w:eastAsia="仿宋" w:cs="仿宋"/>
                <w:b w:val="0"/>
                <w:bCs w:val="0"/>
                <w:color w:val="auto"/>
                <w:sz w:val="21"/>
                <w:szCs w:val="21"/>
                <w:highlight w:val="none"/>
                <w:u w:val="none"/>
                <w:lang w:eastAsia="zh-CN"/>
                <w:woUserID w:val="1"/>
              </w:rPr>
              <w:t>。</w:t>
            </w:r>
          </w:p>
        </w:tc>
        <w:tc>
          <w:tcPr>
            <w:tcW w:w="1471" w:type="dxa"/>
            <w:shd w:val="clear" w:color="auto" w:fill="auto"/>
            <w:vAlign w:val="center"/>
          </w:tcPr>
          <w:p w14:paraId="1705367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团委</w:t>
            </w:r>
          </w:p>
        </w:tc>
      </w:tr>
      <w:tr w14:paraId="2F6EB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191" w:type="dxa"/>
            <w:vMerge w:val="continue"/>
          </w:tcPr>
          <w:p w14:paraId="6E47E8DD">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2963" w:type="dxa"/>
            <w:gridSpan w:val="3"/>
            <w:shd w:val="clear" w:color="auto" w:fill="auto"/>
            <w:vAlign w:val="center"/>
          </w:tcPr>
          <w:p w14:paraId="1F74AEA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bCs/>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rPr>
              <w:t>发展性指标</w:t>
            </w:r>
          </w:p>
        </w:tc>
      </w:tr>
      <w:tr w14:paraId="4D28C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191" w:type="dxa"/>
            <w:vMerge w:val="continue"/>
          </w:tcPr>
          <w:p w14:paraId="2661296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3BC97F6D">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bidi="ar-SA"/>
              </w:rPr>
              <w:t>理论引导</w:t>
            </w:r>
          </w:p>
          <w:p w14:paraId="43B6268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bidi="ar-SA"/>
              </w:rPr>
              <w:t>（2分）</w:t>
            </w:r>
          </w:p>
        </w:tc>
        <w:tc>
          <w:tcPr>
            <w:tcW w:w="9763" w:type="dxa"/>
            <w:shd w:val="clear" w:color="auto" w:fill="auto"/>
            <w:vAlign w:val="center"/>
          </w:tcPr>
          <w:p w14:paraId="28C854DA">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firstLine="0" w:firstLineChars="0"/>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教师本人或以第一指导教师身份指导学生参加思政或宣讲类比赛获省级一等奖及以上奖项为A；获省级奖项为B；获市级奖项为C；其余不得分。</w:t>
            </w:r>
          </w:p>
        </w:tc>
        <w:tc>
          <w:tcPr>
            <w:tcW w:w="1471" w:type="dxa"/>
            <w:vMerge w:val="restart"/>
            <w:vAlign w:val="center"/>
          </w:tcPr>
          <w:p w14:paraId="2D4553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rPr>
              <w:t>团委</w:t>
            </w:r>
          </w:p>
        </w:tc>
      </w:tr>
      <w:tr w14:paraId="69151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191" w:type="dxa"/>
            <w:vMerge w:val="continue"/>
          </w:tcPr>
          <w:p w14:paraId="25E18C9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58E8F14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eastAsia="zh-CN"/>
              </w:rPr>
            </w:pPr>
            <w:r>
              <w:rPr>
                <w:rFonts w:hint="eastAsia" w:ascii="仿宋" w:hAnsi="仿宋" w:eastAsia="仿宋" w:cs="仿宋"/>
                <w:b w:val="0"/>
                <w:bCs w:val="0"/>
                <w:color w:val="auto"/>
                <w:sz w:val="21"/>
                <w:szCs w:val="21"/>
                <w:highlight w:val="none"/>
                <w:u w:val="none"/>
                <w:lang w:eastAsia="zh-CN"/>
              </w:rPr>
              <w:t>社会实践指导</w:t>
            </w:r>
          </w:p>
          <w:p w14:paraId="317477B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lang w:val="en-US" w:eastAsia="zh-CN" w:bidi="ar-SA"/>
              </w:rPr>
              <w:t>（2分）</w:t>
            </w:r>
          </w:p>
        </w:tc>
        <w:tc>
          <w:tcPr>
            <w:tcW w:w="9763" w:type="dxa"/>
            <w:shd w:val="clear" w:color="auto" w:fill="auto"/>
            <w:vAlign w:val="center"/>
          </w:tcPr>
          <w:p w14:paraId="16288E59">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firstLine="0" w:firstLineChars="0"/>
              <w:jc w:val="both"/>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eastAsia="zh-CN"/>
                <w:woUserID w:val="1"/>
              </w:rPr>
              <w:t>以第一指导教师身份指导学生团队开展社会实践或社会调研等”社会大课堂“类活动，团队成果获省级及以上荣誉为A；市级</w:t>
            </w:r>
            <w:r>
              <w:rPr>
                <w:rFonts w:hint="eastAsia" w:ascii="仿宋" w:hAnsi="仿宋" w:eastAsia="仿宋" w:cs="仿宋"/>
                <w:b w:val="0"/>
                <w:bCs w:val="0"/>
                <w:color w:val="auto"/>
                <w:sz w:val="21"/>
                <w:szCs w:val="21"/>
                <w:highlight w:val="none"/>
                <w:u w:val="none"/>
                <w:lang w:val="en-US" w:eastAsia="zh-CN"/>
                <w:woUserID w:val="1"/>
              </w:rPr>
              <w:t>获奖</w:t>
            </w:r>
            <w:r>
              <w:rPr>
                <w:rFonts w:hint="eastAsia" w:ascii="仿宋" w:hAnsi="仿宋" w:eastAsia="仿宋" w:cs="仿宋"/>
                <w:b w:val="0"/>
                <w:bCs w:val="0"/>
                <w:color w:val="auto"/>
                <w:sz w:val="21"/>
                <w:szCs w:val="21"/>
                <w:highlight w:val="none"/>
                <w:u w:val="none"/>
                <w:lang w:eastAsia="zh-CN"/>
                <w:woUserID w:val="1"/>
              </w:rPr>
              <w:t>为B；其余不得分。</w:t>
            </w:r>
          </w:p>
        </w:tc>
        <w:tc>
          <w:tcPr>
            <w:tcW w:w="1471" w:type="dxa"/>
            <w:vMerge w:val="continue"/>
            <w:vAlign w:val="center"/>
          </w:tcPr>
          <w:p w14:paraId="6026F95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p>
        </w:tc>
      </w:tr>
      <w:tr w14:paraId="2D61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1191" w:type="dxa"/>
            <w:vMerge w:val="restart"/>
            <w:vAlign w:val="center"/>
          </w:tcPr>
          <w:p w14:paraId="3A4E24F2">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lang w:val="en-US" w:eastAsia="zh-CN"/>
              </w:rPr>
              <w:t>3.</w:t>
            </w:r>
            <w:r>
              <w:rPr>
                <w:rFonts w:hint="eastAsia" w:ascii="仿宋" w:hAnsi="仿宋" w:eastAsia="仿宋" w:cs="仿宋"/>
                <w:b w:val="0"/>
                <w:bCs w:val="0"/>
                <w:color w:val="auto"/>
                <w:sz w:val="21"/>
                <w:szCs w:val="21"/>
                <w:highlight w:val="none"/>
                <w:u w:val="none"/>
              </w:rPr>
              <w:t>社会人员培训及服务终身学习</w:t>
            </w:r>
          </w:p>
          <w:p w14:paraId="56E4E3BE">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11分</w:t>
            </w:r>
            <w:r>
              <w:rPr>
                <w:rFonts w:hint="eastAsia" w:ascii="仿宋" w:hAnsi="仿宋" w:eastAsia="仿宋" w:cs="仿宋"/>
                <w:b w:val="0"/>
                <w:bCs w:val="0"/>
                <w:color w:val="auto"/>
                <w:sz w:val="21"/>
                <w:szCs w:val="21"/>
                <w:highlight w:val="none"/>
                <w:u w:val="none"/>
                <w:lang w:eastAsia="zh-CN"/>
              </w:rPr>
              <w:t>）</w:t>
            </w:r>
          </w:p>
        </w:tc>
        <w:tc>
          <w:tcPr>
            <w:tcW w:w="12963" w:type="dxa"/>
            <w:gridSpan w:val="3"/>
            <w:vAlign w:val="center"/>
          </w:tcPr>
          <w:p w14:paraId="569DE1B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bCs/>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rPr>
              <w:t>基础性指标</w:t>
            </w:r>
          </w:p>
        </w:tc>
      </w:tr>
      <w:tr w14:paraId="0096A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191" w:type="dxa"/>
            <w:vMerge w:val="continue"/>
            <w:vAlign w:val="center"/>
          </w:tcPr>
          <w:p w14:paraId="04D9D1C2">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eastAsia="zh-CN"/>
              </w:rPr>
            </w:pPr>
          </w:p>
        </w:tc>
        <w:tc>
          <w:tcPr>
            <w:tcW w:w="1729" w:type="dxa"/>
            <w:shd w:val="clear" w:color="auto" w:fill="auto"/>
            <w:vAlign w:val="center"/>
          </w:tcPr>
          <w:p w14:paraId="5F15122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培训到款额</w:t>
            </w:r>
          </w:p>
          <w:p w14:paraId="435FCB0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（5分）</w:t>
            </w:r>
          </w:p>
        </w:tc>
        <w:tc>
          <w:tcPr>
            <w:tcW w:w="9763" w:type="dxa"/>
            <w:shd w:val="clear" w:color="auto" w:fill="auto"/>
            <w:vAlign w:val="center"/>
          </w:tcPr>
          <w:p w14:paraId="6320BBC2">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年度社会培训到款额①较上一年有增长，且达到全校平均值及以上得5分、达到平均值的60%及以上得4分、达到平均值的50%及以上得3分、达到平均值的40%及以上得2分、其他得1分。或②完成继续教育学院下达指标的得2分，超过指标10%的得3分 ，超过指标20%的得4分，超过指标30%的得5分。</w:t>
            </w:r>
          </w:p>
        </w:tc>
        <w:tc>
          <w:tcPr>
            <w:tcW w:w="1471" w:type="dxa"/>
            <w:vMerge w:val="restart"/>
            <w:shd w:val="clear" w:color="auto" w:fill="auto"/>
            <w:vAlign w:val="center"/>
          </w:tcPr>
          <w:p w14:paraId="4DFA789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rPr>
              <w:t>科研处（地方服务合作处）</w:t>
            </w:r>
          </w:p>
        </w:tc>
      </w:tr>
      <w:tr w14:paraId="0CE84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191" w:type="dxa"/>
            <w:vMerge w:val="continue"/>
            <w:vAlign w:val="center"/>
          </w:tcPr>
          <w:p w14:paraId="5C0CBE3D">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vAlign w:val="center"/>
          </w:tcPr>
          <w:p w14:paraId="6A0A0D0B">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培训工作</w:t>
            </w:r>
          </w:p>
          <w:p w14:paraId="357832AB">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（4分）</w:t>
            </w:r>
          </w:p>
        </w:tc>
        <w:tc>
          <w:tcPr>
            <w:tcW w:w="9763" w:type="dxa"/>
            <w:vAlign w:val="center"/>
          </w:tcPr>
          <w:p w14:paraId="1C6A466F">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lang w:eastAsia="zh-CN"/>
                <w:woUserID w:val="1"/>
              </w:rPr>
              <w:t>完成年度职业教育培训工作任务目标数</w:t>
            </w:r>
            <w:r>
              <w:rPr>
                <w:rFonts w:hint="eastAsia" w:ascii="仿宋" w:hAnsi="仿宋" w:eastAsia="仿宋" w:cs="仿宋"/>
                <w:b w:val="0"/>
                <w:bCs w:val="0"/>
                <w:color w:val="auto"/>
                <w:sz w:val="21"/>
                <w:szCs w:val="21"/>
                <w:highlight w:val="none"/>
                <w:u w:val="none"/>
                <w:lang w:val="en-US" w:eastAsia="zh-CN"/>
                <w:woUserID w:val="1"/>
              </w:rPr>
              <w:t>较上一年的</w:t>
            </w:r>
            <w:r>
              <w:rPr>
                <w:rFonts w:hint="eastAsia" w:ascii="仿宋" w:hAnsi="仿宋" w:eastAsia="仿宋" w:cs="仿宋"/>
                <w:b w:val="0"/>
                <w:bCs w:val="0"/>
                <w:color w:val="auto"/>
                <w:sz w:val="21"/>
                <w:szCs w:val="21"/>
                <w:highlight w:val="none"/>
                <w:u w:val="none"/>
                <w:lang w:eastAsia="zh-CN"/>
                <w:woUserID w:val="1"/>
              </w:rPr>
              <w:t>1</w:t>
            </w:r>
            <w:r>
              <w:rPr>
                <w:rFonts w:hint="eastAsia" w:ascii="仿宋" w:hAnsi="仿宋" w:eastAsia="仿宋" w:cs="仿宋"/>
                <w:b w:val="0"/>
                <w:bCs w:val="0"/>
                <w:color w:val="auto"/>
                <w:sz w:val="21"/>
                <w:szCs w:val="21"/>
                <w:highlight w:val="none"/>
                <w:u w:val="none"/>
                <w:lang w:val="en-US" w:eastAsia="zh-CN"/>
                <w:woUserID w:val="1"/>
              </w:rPr>
              <w:t>2</w:t>
            </w:r>
            <w:r>
              <w:rPr>
                <w:rFonts w:hint="eastAsia" w:ascii="仿宋" w:hAnsi="仿宋" w:eastAsia="仿宋" w:cs="仿宋"/>
                <w:b w:val="0"/>
                <w:bCs w:val="0"/>
                <w:color w:val="auto"/>
                <w:sz w:val="21"/>
                <w:szCs w:val="21"/>
                <w:highlight w:val="none"/>
                <w:u w:val="none"/>
                <w:lang w:eastAsia="zh-CN"/>
                <w:woUserID w:val="1"/>
              </w:rPr>
              <w:t>0%及以上得</w:t>
            </w:r>
            <w:r>
              <w:rPr>
                <w:rFonts w:hint="eastAsia" w:ascii="仿宋" w:hAnsi="仿宋" w:eastAsia="仿宋" w:cs="仿宋"/>
                <w:b w:val="0"/>
                <w:bCs w:val="0"/>
                <w:color w:val="auto"/>
                <w:sz w:val="21"/>
                <w:szCs w:val="21"/>
                <w:highlight w:val="none"/>
                <w:u w:val="none"/>
                <w:lang w:val="en-US" w:eastAsia="zh-CN"/>
                <w:woUserID w:val="1"/>
              </w:rPr>
              <w:t>4</w:t>
            </w:r>
            <w:r>
              <w:rPr>
                <w:rFonts w:hint="eastAsia" w:ascii="仿宋" w:hAnsi="仿宋" w:eastAsia="仿宋" w:cs="仿宋"/>
                <w:b w:val="0"/>
                <w:bCs w:val="0"/>
                <w:color w:val="auto"/>
                <w:sz w:val="21"/>
                <w:szCs w:val="21"/>
                <w:highlight w:val="none"/>
                <w:u w:val="none"/>
                <w:lang w:eastAsia="zh-CN"/>
                <w:woUserID w:val="1"/>
              </w:rPr>
              <w:t>分；</w:t>
            </w:r>
            <w:r>
              <w:rPr>
                <w:rFonts w:hint="eastAsia" w:ascii="仿宋" w:hAnsi="仿宋" w:eastAsia="仿宋" w:cs="仿宋"/>
                <w:b w:val="0"/>
                <w:bCs w:val="0"/>
                <w:color w:val="auto"/>
                <w:sz w:val="21"/>
                <w:szCs w:val="21"/>
                <w:highlight w:val="none"/>
                <w:u w:val="none"/>
                <w:lang w:val="en-US" w:eastAsia="zh-CN"/>
                <w:woUserID w:val="1"/>
              </w:rPr>
              <w:t>完成目标数的</w:t>
            </w:r>
            <w:r>
              <w:rPr>
                <w:rFonts w:hint="eastAsia" w:ascii="仿宋" w:hAnsi="仿宋" w:eastAsia="仿宋" w:cs="仿宋"/>
                <w:b w:val="0"/>
                <w:bCs w:val="0"/>
                <w:color w:val="auto"/>
                <w:sz w:val="21"/>
                <w:szCs w:val="21"/>
                <w:highlight w:val="none"/>
                <w:u w:val="none"/>
                <w:lang w:eastAsia="zh-CN"/>
                <w:woUserID w:val="1"/>
              </w:rPr>
              <w:t>1</w:t>
            </w:r>
            <w:r>
              <w:rPr>
                <w:rFonts w:hint="eastAsia" w:ascii="仿宋" w:hAnsi="仿宋" w:eastAsia="仿宋" w:cs="仿宋"/>
                <w:b w:val="0"/>
                <w:bCs w:val="0"/>
                <w:color w:val="auto"/>
                <w:sz w:val="21"/>
                <w:szCs w:val="21"/>
                <w:highlight w:val="none"/>
                <w:u w:val="none"/>
                <w:lang w:val="en-US" w:eastAsia="zh-CN"/>
                <w:woUserID w:val="1"/>
              </w:rPr>
              <w:t>10</w:t>
            </w:r>
            <w:r>
              <w:rPr>
                <w:rFonts w:hint="eastAsia" w:ascii="仿宋" w:hAnsi="仿宋" w:eastAsia="仿宋" w:cs="仿宋"/>
                <w:b w:val="0"/>
                <w:bCs w:val="0"/>
                <w:color w:val="auto"/>
                <w:sz w:val="21"/>
                <w:szCs w:val="21"/>
                <w:highlight w:val="none"/>
                <w:u w:val="none"/>
                <w:lang w:eastAsia="zh-CN"/>
                <w:woUserID w:val="1"/>
              </w:rPr>
              <w:t>%～1</w:t>
            </w:r>
            <w:r>
              <w:rPr>
                <w:rFonts w:hint="eastAsia" w:ascii="仿宋" w:hAnsi="仿宋" w:eastAsia="仿宋" w:cs="仿宋"/>
                <w:b w:val="0"/>
                <w:bCs w:val="0"/>
                <w:color w:val="auto"/>
                <w:sz w:val="21"/>
                <w:szCs w:val="21"/>
                <w:highlight w:val="none"/>
                <w:u w:val="none"/>
                <w:lang w:val="en-US" w:eastAsia="zh-CN"/>
                <w:woUserID w:val="1"/>
              </w:rPr>
              <w:t>20</w:t>
            </w:r>
            <w:r>
              <w:rPr>
                <w:rFonts w:hint="eastAsia" w:ascii="仿宋" w:hAnsi="仿宋" w:eastAsia="仿宋" w:cs="仿宋"/>
                <w:b w:val="0"/>
                <w:bCs w:val="0"/>
                <w:color w:val="auto"/>
                <w:sz w:val="21"/>
                <w:szCs w:val="21"/>
                <w:highlight w:val="none"/>
                <w:u w:val="none"/>
                <w:lang w:eastAsia="zh-CN"/>
                <w:woUserID w:val="1"/>
              </w:rPr>
              <w:t>%（</w:t>
            </w:r>
            <w:r>
              <w:rPr>
                <w:rFonts w:hint="eastAsia" w:ascii="仿宋" w:hAnsi="仿宋" w:eastAsia="仿宋" w:cs="仿宋"/>
                <w:b w:val="0"/>
                <w:bCs w:val="0"/>
                <w:color w:val="auto"/>
                <w:sz w:val="21"/>
                <w:szCs w:val="21"/>
                <w:highlight w:val="none"/>
                <w:u w:val="none"/>
                <w:lang w:val="en-US" w:eastAsia="zh-CN"/>
                <w:woUserID w:val="1"/>
              </w:rPr>
              <w:t>含110%</w:t>
            </w:r>
            <w:r>
              <w:rPr>
                <w:rFonts w:hint="eastAsia" w:ascii="仿宋" w:hAnsi="仿宋" w:eastAsia="仿宋" w:cs="仿宋"/>
                <w:b w:val="0"/>
                <w:bCs w:val="0"/>
                <w:color w:val="auto"/>
                <w:sz w:val="21"/>
                <w:szCs w:val="21"/>
                <w:highlight w:val="none"/>
                <w:u w:val="none"/>
                <w:lang w:eastAsia="zh-CN"/>
                <w:woUserID w:val="1"/>
              </w:rPr>
              <w:t>）得</w:t>
            </w:r>
            <w:r>
              <w:rPr>
                <w:rFonts w:hint="eastAsia" w:ascii="仿宋" w:hAnsi="仿宋" w:eastAsia="仿宋" w:cs="仿宋"/>
                <w:b w:val="0"/>
                <w:bCs w:val="0"/>
                <w:color w:val="auto"/>
                <w:sz w:val="21"/>
                <w:szCs w:val="21"/>
                <w:highlight w:val="none"/>
                <w:u w:val="none"/>
                <w:lang w:val="en-US" w:eastAsia="zh-CN"/>
                <w:woUserID w:val="1"/>
              </w:rPr>
              <w:t>3</w:t>
            </w:r>
            <w:r>
              <w:rPr>
                <w:rFonts w:hint="eastAsia" w:ascii="仿宋" w:hAnsi="仿宋" w:eastAsia="仿宋" w:cs="仿宋"/>
                <w:b w:val="0"/>
                <w:bCs w:val="0"/>
                <w:color w:val="auto"/>
                <w:sz w:val="21"/>
                <w:szCs w:val="21"/>
                <w:highlight w:val="none"/>
                <w:u w:val="none"/>
                <w:lang w:eastAsia="zh-CN"/>
                <w:woUserID w:val="1"/>
              </w:rPr>
              <w:t>分；</w:t>
            </w:r>
            <w:r>
              <w:rPr>
                <w:rFonts w:hint="eastAsia" w:ascii="仿宋" w:hAnsi="仿宋" w:eastAsia="仿宋" w:cs="仿宋"/>
                <w:b w:val="0"/>
                <w:bCs w:val="0"/>
                <w:color w:val="auto"/>
                <w:sz w:val="21"/>
                <w:szCs w:val="21"/>
                <w:highlight w:val="none"/>
                <w:u w:val="none"/>
                <w:lang w:val="en-US" w:eastAsia="zh-CN"/>
                <w:woUserID w:val="1"/>
              </w:rPr>
              <w:t>其余得1分</w:t>
            </w:r>
            <w:r>
              <w:rPr>
                <w:rFonts w:hint="eastAsia" w:ascii="仿宋" w:hAnsi="仿宋" w:eastAsia="仿宋" w:cs="仿宋"/>
                <w:b w:val="0"/>
                <w:bCs w:val="0"/>
                <w:color w:val="auto"/>
                <w:sz w:val="21"/>
                <w:szCs w:val="21"/>
                <w:highlight w:val="none"/>
                <w:u w:val="none"/>
                <w:lang w:eastAsia="zh-CN"/>
                <w:woUserID w:val="1"/>
              </w:rPr>
              <w:t>。</w:t>
            </w:r>
          </w:p>
        </w:tc>
        <w:tc>
          <w:tcPr>
            <w:tcW w:w="1471" w:type="dxa"/>
            <w:vMerge w:val="continue"/>
            <w:vAlign w:val="center"/>
          </w:tcPr>
          <w:p w14:paraId="2A556F6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p>
        </w:tc>
      </w:tr>
      <w:tr w14:paraId="49E29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1" w:type="dxa"/>
            <w:vMerge w:val="continue"/>
            <w:vAlign w:val="center"/>
          </w:tcPr>
          <w:p w14:paraId="3E6BB58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2963" w:type="dxa"/>
            <w:gridSpan w:val="3"/>
            <w:vAlign w:val="center"/>
          </w:tcPr>
          <w:p w14:paraId="7CC7F97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bCs/>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rPr>
              <w:t>发展性指标</w:t>
            </w:r>
          </w:p>
        </w:tc>
      </w:tr>
      <w:tr w14:paraId="7EC70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191" w:type="dxa"/>
            <w:vMerge w:val="continue"/>
            <w:vAlign w:val="center"/>
          </w:tcPr>
          <w:p w14:paraId="256347F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607CEB3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社区和老年教育</w:t>
            </w:r>
          </w:p>
          <w:p w14:paraId="08D0B92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（2分）</w:t>
            </w:r>
          </w:p>
        </w:tc>
        <w:tc>
          <w:tcPr>
            <w:tcW w:w="9763" w:type="dxa"/>
            <w:shd w:val="clear" w:color="auto" w:fill="auto"/>
            <w:vAlign w:val="center"/>
          </w:tcPr>
          <w:p w14:paraId="2BE48C44">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开展社区教育（老年教育）服务或面向中小学生劳动和职业教育为2分；其余不得分。</w:t>
            </w:r>
          </w:p>
        </w:tc>
        <w:tc>
          <w:tcPr>
            <w:tcW w:w="1471" w:type="dxa"/>
            <w:shd w:val="clear" w:color="auto" w:fill="auto"/>
            <w:vAlign w:val="center"/>
          </w:tcPr>
          <w:p w14:paraId="5314395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科研处（地方服务合作处）</w:t>
            </w:r>
            <w:r>
              <w:rPr>
                <w:rFonts w:hint="eastAsia" w:ascii="仿宋" w:hAnsi="仿宋" w:eastAsia="仿宋" w:cs="仿宋"/>
                <w:b w:val="0"/>
                <w:bCs w:val="0"/>
                <w:color w:val="auto"/>
                <w:sz w:val="21"/>
                <w:szCs w:val="21"/>
                <w:highlight w:val="none"/>
                <w:u w:val="none"/>
                <w:lang w:val="en-US" w:eastAsia="zh-CN"/>
              </w:rPr>
              <w:t>/团委</w:t>
            </w:r>
          </w:p>
        </w:tc>
      </w:tr>
      <w:tr w14:paraId="68A97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1191" w:type="dxa"/>
            <w:vMerge w:val="restart"/>
            <w:vAlign w:val="center"/>
          </w:tcPr>
          <w:p w14:paraId="5FFE8030">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lang w:val="en-US" w:eastAsia="zh-CN"/>
              </w:rPr>
              <w:t>4.</w:t>
            </w:r>
            <w:r>
              <w:rPr>
                <w:rFonts w:hint="eastAsia" w:ascii="仿宋" w:hAnsi="仿宋" w:eastAsia="仿宋" w:cs="仿宋"/>
                <w:b w:val="0"/>
                <w:bCs w:val="0"/>
                <w:color w:val="auto"/>
                <w:sz w:val="21"/>
                <w:szCs w:val="21"/>
                <w:highlight w:val="none"/>
                <w:u w:val="none"/>
              </w:rPr>
              <w:t>技术研发服务</w:t>
            </w:r>
          </w:p>
          <w:p w14:paraId="302F3511">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14分</w:t>
            </w:r>
            <w:r>
              <w:rPr>
                <w:rFonts w:hint="eastAsia" w:ascii="仿宋" w:hAnsi="仿宋" w:eastAsia="仿宋" w:cs="仿宋"/>
                <w:b w:val="0"/>
                <w:bCs w:val="0"/>
                <w:color w:val="auto"/>
                <w:sz w:val="21"/>
                <w:szCs w:val="21"/>
                <w:highlight w:val="none"/>
                <w:u w:val="none"/>
                <w:lang w:eastAsia="zh-CN"/>
              </w:rPr>
              <w:t>）</w:t>
            </w:r>
          </w:p>
        </w:tc>
        <w:tc>
          <w:tcPr>
            <w:tcW w:w="12963" w:type="dxa"/>
            <w:gridSpan w:val="3"/>
            <w:vAlign w:val="center"/>
          </w:tcPr>
          <w:p w14:paraId="0650EF2B">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bCs/>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rPr>
              <w:t>基础性指标</w:t>
            </w:r>
          </w:p>
        </w:tc>
      </w:tr>
      <w:tr w14:paraId="6F7F9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191" w:type="dxa"/>
            <w:vMerge w:val="continue"/>
            <w:vAlign w:val="center"/>
          </w:tcPr>
          <w:p w14:paraId="120DE131">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eastAsia="zh-CN"/>
              </w:rPr>
            </w:pPr>
          </w:p>
        </w:tc>
        <w:tc>
          <w:tcPr>
            <w:tcW w:w="1729" w:type="dxa"/>
            <w:shd w:val="clear" w:color="auto" w:fill="auto"/>
            <w:vAlign w:val="center"/>
          </w:tcPr>
          <w:p w14:paraId="302C0F3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科研到账经费</w:t>
            </w:r>
          </w:p>
          <w:p w14:paraId="6FCDA15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vertAlign w:val="baseline"/>
                <w:lang w:val="en-US" w:eastAsia="zh-CN" w:bidi="ar-SA"/>
              </w:rPr>
            </w:pPr>
            <w:r>
              <w:rPr>
                <w:rFonts w:hint="eastAsia" w:ascii="仿宋" w:hAnsi="仿宋" w:eastAsia="仿宋" w:cs="仿宋"/>
                <w:b w:val="0"/>
                <w:bCs w:val="0"/>
                <w:color w:val="auto"/>
                <w:sz w:val="21"/>
                <w:szCs w:val="21"/>
                <w:highlight w:val="none"/>
                <w:u w:val="none"/>
                <w:lang w:val="en-US" w:eastAsia="zh-CN"/>
              </w:rPr>
              <w:t>（10分）</w:t>
            </w:r>
          </w:p>
        </w:tc>
        <w:tc>
          <w:tcPr>
            <w:tcW w:w="9763" w:type="dxa"/>
            <w:shd w:val="clear" w:color="auto" w:fill="auto"/>
            <w:vAlign w:val="center"/>
          </w:tcPr>
          <w:p w14:paraId="7FC2D0FF">
            <w:pPr>
              <w:keepNext w:val="0"/>
              <w:keepLines w:val="0"/>
              <w:pageBreakBefore w:val="0"/>
              <w:widowControl w:val="0"/>
              <w:tabs>
                <w:tab w:val="left" w:pos="7088"/>
              </w:tabs>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bCs/>
                <w:color w:val="auto"/>
                <w:sz w:val="21"/>
                <w:szCs w:val="21"/>
                <w:highlight w:val="none"/>
                <w:u w:val="none"/>
                <w:lang w:val="en-US" w:eastAsia="zh-CN"/>
              </w:rPr>
              <w:t>1.</w:t>
            </w:r>
            <w:r>
              <w:rPr>
                <w:rFonts w:hint="eastAsia" w:ascii="仿宋" w:hAnsi="仿宋" w:eastAsia="仿宋" w:cs="仿宋"/>
                <w:b w:val="0"/>
                <w:bCs w:val="0"/>
                <w:color w:val="auto"/>
                <w:sz w:val="21"/>
                <w:szCs w:val="21"/>
                <w:highlight w:val="none"/>
                <w:u w:val="none"/>
                <w:lang w:val="en-US" w:eastAsia="zh-CN"/>
              </w:rPr>
              <w:t>纵横向项目到款总额；当年人均到款总额较上一年增长10%及以上得5分；增长8%及以得4分；增长5%及以上得3分；增长3%及以上得2分；有增长得1分；其余不得分。</w:t>
            </w:r>
            <w:r>
              <w:rPr>
                <w:rFonts w:hint="eastAsia" w:ascii="仿宋" w:hAnsi="仿宋" w:eastAsia="仿宋" w:cs="仿宋"/>
                <w:b w:val="0"/>
                <w:bCs w:val="0"/>
                <w:color w:val="auto"/>
                <w:sz w:val="21"/>
                <w:szCs w:val="21"/>
                <w:highlight w:val="none"/>
                <w:u w:val="none"/>
                <w:lang w:val="en-US" w:eastAsia="zh-CN"/>
              </w:rPr>
              <w:br w:type="textWrapping"/>
            </w:r>
            <w:r>
              <w:rPr>
                <w:rFonts w:hint="eastAsia" w:ascii="仿宋" w:hAnsi="仿宋" w:eastAsia="仿宋" w:cs="仿宋"/>
                <w:b/>
                <w:bCs/>
                <w:color w:val="auto"/>
                <w:sz w:val="21"/>
                <w:szCs w:val="21"/>
                <w:highlight w:val="none"/>
                <w:u w:val="none"/>
                <w:lang w:val="en-US" w:eastAsia="zh-CN"/>
              </w:rPr>
              <w:t>2.</w:t>
            </w:r>
            <w:r>
              <w:rPr>
                <w:rFonts w:hint="eastAsia" w:ascii="仿宋" w:hAnsi="仿宋" w:eastAsia="仿宋" w:cs="仿宋"/>
                <w:b w:val="0"/>
                <w:bCs w:val="0"/>
                <w:color w:val="auto"/>
                <w:sz w:val="21"/>
                <w:szCs w:val="21"/>
                <w:highlight w:val="none"/>
                <w:u w:val="none"/>
                <w:lang w:val="en-US" w:eastAsia="zh-CN"/>
              </w:rPr>
              <w:t>纵向科研项目到款额；当年纵向科研项目人均到款额较上一年增长10%及以上得5分；增长8%及以得4分；增长5%及以上得3分；增长3%及以上得2分；有增长得1分；其余不得分。</w:t>
            </w:r>
            <w:r>
              <w:rPr>
                <w:rFonts w:hint="eastAsia" w:ascii="仿宋" w:hAnsi="仿宋" w:eastAsia="仿宋" w:cs="仿宋"/>
                <w:b w:val="0"/>
                <w:bCs w:val="0"/>
                <w:color w:val="auto"/>
                <w:sz w:val="21"/>
                <w:szCs w:val="21"/>
                <w:highlight w:val="none"/>
                <w:u w:val="none"/>
                <w:lang w:val="en-US" w:eastAsia="zh-CN"/>
              </w:rPr>
              <w:br w:type="textWrapping"/>
            </w:r>
            <w:r>
              <w:rPr>
                <w:rFonts w:hint="eastAsia" w:ascii="仿宋" w:hAnsi="仿宋" w:eastAsia="仿宋" w:cs="仿宋"/>
                <w:b/>
                <w:bCs/>
                <w:color w:val="auto"/>
                <w:sz w:val="21"/>
                <w:szCs w:val="21"/>
                <w:highlight w:val="none"/>
                <w:u w:val="none"/>
                <w:lang w:val="en-US" w:eastAsia="zh-CN"/>
              </w:rPr>
              <w:t>3.</w:t>
            </w:r>
            <w:r>
              <w:rPr>
                <w:rFonts w:hint="eastAsia" w:ascii="仿宋" w:hAnsi="仿宋" w:eastAsia="仿宋" w:cs="仿宋"/>
                <w:b w:val="0"/>
                <w:bCs w:val="0"/>
                <w:color w:val="auto"/>
                <w:sz w:val="21"/>
                <w:szCs w:val="21"/>
                <w:highlight w:val="none"/>
                <w:u w:val="none"/>
                <w:lang w:val="en-US" w:eastAsia="zh-CN"/>
              </w:rPr>
              <w:t>横向技术服务到款额；当年横向科研项目到款额人均到款额较上一年增长10%及以上得5分；增长8%及以上得4分；增长5%及以上得3分；增长3%及以上得2分；有增长得1分；其余不得分。</w:t>
            </w:r>
            <w:r>
              <w:rPr>
                <w:rFonts w:hint="eastAsia" w:ascii="仿宋" w:hAnsi="仿宋" w:eastAsia="仿宋" w:cs="仿宋"/>
                <w:b w:val="0"/>
                <w:bCs w:val="0"/>
                <w:color w:val="auto"/>
                <w:sz w:val="21"/>
                <w:szCs w:val="21"/>
                <w:highlight w:val="none"/>
                <w:u w:val="none"/>
                <w:lang w:val="en-US" w:eastAsia="zh-CN"/>
              </w:rPr>
              <w:br w:type="textWrapping"/>
            </w:r>
            <w:r>
              <w:rPr>
                <w:rFonts w:hint="eastAsia" w:ascii="仿宋" w:hAnsi="仿宋" w:eastAsia="仿宋" w:cs="仿宋"/>
                <w:b w:val="0"/>
                <w:bCs w:val="0"/>
                <w:color w:val="auto"/>
                <w:sz w:val="21"/>
                <w:szCs w:val="21"/>
                <w:highlight w:val="none"/>
                <w:u w:val="none"/>
                <w:lang w:val="en-US" w:eastAsia="zh-CN"/>
              </w:rPr>
              <w:t>说明：纵横向总量或任意一项到款额达到学校总量或单项总额的的30%，可得此项满分。</w:t>
            </w:r>
          </w:p>
        </w:tc>
        <w:tc>
          <w:tcPr>
            <w:tcW w:w="1471" w:type="dxa"/>
            <w:shd w:val="clear" w:color="auto" w:fill="auto"/>
            <w:vAlign w:val="center"/>
          </w:tcPr>
          <w:p w14:paraId="4A7F22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p>
          <w:p w14:paraId="071FCA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科研处（地方服务合作处）</w:t>
            </w:r>
          </w:p>
        </w:tc>
      </w:tr>
      <w:tr w14:paraId="789A1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1" w:type="dxa"/>
            <w:vMerge w:val="continue"/>
            <w:vAlign w:val="center"/>
          </w:tcPr>
          <w:p w14:paraId="3AFFC2DD">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eastAsia="zh-CN"/>
              </w:rPr>
            </w:pPr>
          </w:p>
        </w:tc>
        <w:tc>
          <w:tcPr>
            <w:tcW w:w="12963" w:type="dxa"/>
            <w:gridSpan w:val="3"/>
            <w:shd w:val="clear" w:color="auto" w:fill="auto"/>
            <w:vAlign w:val="center"/>
          </w:tcPr>
          <w:p w14:paraId="1914878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color w:val="auto"/>
                <w:sz w:val="21"/>
                <w:szCs w:val="21"/>
                <w:highlight w:val="none"/>
                <w:u w:val="none"/>
                <w:lang w:val="en-US" w:eastAsia="zh-CN" w:bidi="ar-SA"/>
              </w:rPr>
            </w:pPr>
            <w:r>
              <w:rPr>
                <w:rFonts w:hint="eastAsia" w:ascii="仿宋" w:hAnsi="仿宋" w:eastAsia="仿宋" w:cs="仿宋"/>
                <w:b/>
                <w:bCs/>
                <w:color w:val="auto"/>
                <w:sz w:val="21"/>
                <w:szCs w:val="21"/>
                <w:highlight w:val="none"/>
                <w:u w:val="none"/>
                <w:lang w:val="en-US" w:eastAsia="zh-CN" w:bidi="ar-SA"/>
              </w:rPr>
              <w:t>发展性指标</w:t>
            </w:r>
          </w:p>
        </w:tc>
      </w:tr>
      <w:tr w14:paraId="69D7E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1191" w:type="dxa"/>
            <w:vMerge w:val="continue"/>
          </w:tcPr>
          <w:p w14:paraId="5F74246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vAlign w:val="center"/>
          </w:tcPr>
          <w:p w14:paraId="6E904B0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vertAlign w:val="baseline"/>
                <w:lang w:val="en-US" w:eastAsia="zh-CN"/>
              </w:rPr>
            </w:pPr>
            <w:r>
              <w:rPr>
                <w:rFonts w:hint="eastAsia" w:ascii="仿宋" w:hAnsi="仿宋" w:eastAsia="仿宋" w:cs="仿宋"/>
                <w:b w:val="0"/>
                <w:bCs w:val="0"/>
                <w:color w:val="auto"/>
                <w:sz w:val="21"/>
                <w:szCs w:val="21"/>
                <w:highlight w:val="none"/>
                <w:u w:val="none"/>
                <w:vertAlign w:val="baseline"/>
                <w:lang w:val="en-US" w:eastAsia="zh-CN"/>
              </w:rPr>
              <w:t>科研项目及成果</w:t>
            </w:r>
          </w:p>
          <w:p w14:paraId="3B91F63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vertAlign w:val="baseline"/>
                <w:lang w:val="en-US" w:eastAsia="zh-CN"/>
              </w:rPr>
              <w:t>（4分）</w:t>
            </w:r>
          </w:p>
        </w:tc>
        <w:tc>
          <w:tcPr>
            <w:tcW w:w="9763" w:type="dxa"/>
            <w:shd w:val="clear" w:color="auto" w:fill="auto"/>
            <w:vAlign w:val="center"/>
          </w:tcPr>
          <w:p w14:paraId="3DD99996">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省部级及以上科研成果奖一等奖3分；二等奖2分； 三等奖1分；省部级及以上课题立项0.5分/项；发表核心论文或出版中央级出版社著作0.5分/篇（部）；省委、省政府及以上领导肯定性批示0.5分/项，获市委、市政府领导肯定性批示获0.3分/项；优秀案例获评省级及以上0.2/篇，市级及以上0.1/篇。（以上成果由本校主持及第一完成人）</w:t>
            </w:r>
          </w:p>
        </w:tc>
        <w:tc>
          <w:tcPr>
            <w:tcW w:w="1471" w:type="dxa"/>
            <w:vAlign w:val="center"/>
          </w:tcPr>
          <w:p w14:paraId="2C891E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科研处（地方服务合作处）</w:t>
            </w:r>
          </w:p>
        </w:tc>
      </w:tr>
      <w:tr w14:paraId="10806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1" w:type="dxa"/>
            <w:vMerge w:val="restart"/>
            <w:vAlign w:val="center"/>
          </w:tcPr>
          <w:p w14:paraId="4A5DBF2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5.师资队伍建设</w:t>
            </w:r>
          </w:p>
          <w:p w14:paraId="7BA43FE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（13分）</w:t>
            </w:r>
          </w:p>
        </w:tc>
        <w:tc>
          <w:tcPr>
            <w:tcW w:w="12963" w:type="dxa"/>
            <w:gridSpan w:val="3"/>
            <w:shd w:val="clear" w:color="auto" w:fill="auto"/>
            <w:vAlign w:val="center"/>
          </w:tcPr>
          <w:p w14:paraId="7D40CEC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rPr>
              <w:t>基础性指标</w:t>
            </w:r>
          </w:p>
        </w:tc>
      </w:tr>
      <w:tr w14:paraId="0A6BE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1191" w:type="dxa"/>
            <w:vMerge w:val="continue"/>
            <w:vAlign w:val="center"/>
          </w:tcPr>
          <w:p w14:paraId="6D5191D0">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p>
        </w:tc>
        <w:tc>
          <w:tcPr>
            <w:tcW w:w="1729" w:type="dxa"/>
            <w:shd w:val="clear" w:color="auto" w:fill="auto"/>
            <w:vAlign w:val="center"/>
          </w:tcPr>
          <w:p w14:paraId="43C224A0">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教师专业实践</w:t>
            </w:r>
          </w:p>
          <w:p w14:paraId="003EC82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（4分）</w:t>
            </w:r>
          </w:p>
        </w:tc>
        <w:tc>
          <w:tcPr>
            <w:tcW w:w="9763" w:type="dxa"/>
            <w:shd w:val="clear" w:color="auto" w:fill="auto"/>
            <w:vAlign w:val="center"/>
          </w:tcPr>
          <w:p w14:paraId="623F446D">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当年度教师下企业（街道/村社等）实践天数达到一个月及以上的教师占所属单位专任教师数的100%得4分，90%及以上得3分，80%及以上得1分，其余不得分。</w:t>
            </w:r>
          </w:p>
        </w:tc>
        <w:tc>
          <w:tcPr>
            <w:tcW w:w="1471" w:type="dxa"/>
            <w:vMerge w:val="restart"/>
            <w:shd w:val="clear" w:color="auto" w:fill="auto"/>
            <w:vAlign w:val="center"/>
          </w:tcPr>
          <w:p w14:paraId="41DDFB6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人事处（教师工作部）</w:t>
            </w:r>
          </w:p>
        </w:tc>
      </w:tr>
      <w:tr w14:paraId="379A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1191" w:type="dxa"/>
            <w:vMerge w:val="continue"/>
            <w:vAlign w:val="center"/>
          </w:tcPr>
          <w:p w14:paraId="498CB0B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p>
        </w:tc>
        <w:tc>
          <w:tcPr>
            <w:tcW w:w="1729" w:type="dxa"/>
            <w:shd w:val="clear" w:color="auto" w:fill="auto"/>
            <w:vAlign w:val="center"/>
          </w:tcPr>
          <w:p w14:paraId="60206F2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bookmarkStart w:id="0" w:name="_GoBack"/>
            <w:bookmarkEnd w:id="0"/>
            <w:r>
              <w:rPr>
                <w:rFonts w:hint="eastAsia" w:ascii="仿宋" w:hAnsi="仿宋" w:eastAsia="仿宋" w:cs="仿宋"/>
                <w:b w:val="0"/>
                <w:bCs w:val="0"/>
                <w:color w:val="auto"/>
                <w:sz w:val="21"/>
                <w:szCs w:val="21"/>
                <w:highlight w:val="none"/>
                <w:u w:val="none"/>
                <w:lang w:val="en-US" w:eastAsia="zh-CN"/>
              </w:rPr>
              <w:t>基地建设（3分）</w:t>
            </w:r>
          </w:p>
        </w:tc>
        <w:tc>
          <w:tcPr>
            <w:tcW w:w="9763" w:type="dxa"/>
            <w:shd w:val="clear" w:color="auto" w:fill="auto"/>
            <w:vAlign w:val="center"/>
          </w:tcPr>
          <w:p w14:paraId="51B86826">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bCs/>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思政教师结对一个红色教育基地或共建一个大中小学思政课一体化建设基地，100%教师参与得3分；80%及以上教师参与得2分；50%及以上教师参与得1分；其余不得分。</w:t>
            </w:r>
          </w:p>
        </w:tc>
        <w:tc>
          <w:tcPr>
            <w:tcW w:w="1471" w:type="dxa"/>
            <w:vMerge w:val="continue"/>
            <w:shd w:val="clear" w:color="auto" w:fill="auto"/>
            <w:vAlign w:val="center"/>
          </w:tcPr>
          <w:p w14:paraId="6DC7B72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p>
        </w:tc>
      </w:tr>
      <w:tr w14:paraId="1AF9E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191" w:type="dxa"/>
            <w:vMerge w:val="continue"/>
          </w:tcPr>
          <w:p w14:paraId="1F9ABABD">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5B6B58F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教师培训</w:t>
            </w:r>
          </w:p>
          <w:p w14:paraId="380362A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（2分）</w:t>
            </w:r>
          </w:p>
        </w:tc>
        <w:tc>
          <w:tcPr>
            <w:tcW w:w="9763" w:type="dxa"/>
            <w:shd w:val="clear" w:color="auto" w:fill="auto"/>
            <w:vAlign w:val="center"/>
          </w:tcPr>
          <w:p w14:paraId="35BDDFC6">
            <w:pPr>
              <w:keepNext w:val="0"/>
              <w:keepLines w:val="0"/>
              <w:pageBreakBefore w:val="0"/>
              <w:widowControl w:val="0"/>
              <w:tabs>
                <w:tab w:val="left" w:pos="7088"/>
              </w:tabs>
              <w:kinsoku/>
              <w:wordWrap/>
              <w:overflowPunct/>
              <w:topLinePunct w:val="0"/>
              <w:autoSpaceDN/>
              <w:bidi w:val="0"/>
              <w:adjustRightInd/>
              <w:snapToGrid/>
              <w:spacing w:line="280" w:lineRule="exact"/>
              <w:jc w:val="left"/>
              <w:textAlignment w:val="auto"/>
              <w:rPr>
                <w:rFonts w:hint="eastAsia" w:ascii="仿宋" w:hAnsi="仿宋" w:eastAsia="仿宋" w:cs="仿宋"/>
                <w:b w:val="0"/>
                <w:bCs w:val="0"/>
                <w:color w:val="auto"/>
                <w:sz w:val="21"/>
                <w:szCs w:val="21"/>
                <w:highlight w:val="none"/>
                <w:u w:val="none"/>
                <w:vertAlign w:val="baseline"/>
                <w:lang w:val="en-US" w:eastAsia="zh-CN"/>
              </w:rPr>
            </w:pPr>
            <w:r>
              <w:rPr>
                <w:rFonts w:hint="eastAsia" w:ascii="仿宋" w:hAnsi="仿宋" w:eastAsia="仿宋" w:cs="仿宋"/>
                <w:b/>
                <w:bCs/>
                <w:color w:val="auto"/>
                <w:sz w:val="21"/>
                <w:szCs w:val="21"/>
                <w:highlight w:val="none"/>
                <w:u w:val="none"/>
                <w:vertAlign w:val="baseline"/>
                <w:lang w:val="en-US" w:eastAsia="zh-CN"/>
              </w:rPr>
              <w:t>1.</w:t>
            </w:r>
            <w:r>
              <w:rPr>
                <w:rFonts w:hint="eastAsia" w:ascii="仿宋" w:hAnsi="仿宋" w:eastAsia="仿宋" w:cs="仿宋"/>
                <w:b w:val="0"/>
                <w:bCs w:val="0"/>
                <w:color w:val="auto"/>
                <w:sz w:val="21"/>
                <w:szCs w:val="21"/>
                <w:highlight w:val="none"/>
                <w:u w:val="none"/>
                <w:vertAlign w:val="baseline"/>
                <w:lang w:val="en-US" w:eastAsia="zh-CN"/>
              </w:rPr>
              <w:t>本年度按上级（国家、省、市）要求组织本学院教师参加培训得1分。</w:t>
            </w:r>
          </w:p>
          <w:p w14:paraId="68C59870">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bCs/>
                <w:color w:val="auto"/>
                <w:sz w:val="21"/>
                <w:szCs w:val="21"/>
                <w:highlight w:val="none"/>
                <w:u w:val="none"/>
                <w:vertAlign w:val="baseline"/>
                <w:lang w:val="en-US" w:eastAsia="zh-CN"/>
              </w:rPr>
              <w:t>2.</w:t>
            </w:r>
            <w:r>
              <w:rPr>
                <w:rFonts w:hint="eastAsia" w:ascii="仿宋" w:hAnsi="仿宋" w:eastAsia="仿宋" w:cs="仿宋"/>
                <w:b w:val="0"/>
                <w:bCs w:val="0"/>
                <w:color w:val="auto"/>
                <w:sz w:val="21"/>
                <w:szCs w:val="21"/>
                <w:highlight w:val="none"/>
                <w:u w:val="none"/>
                <w:vertAlign w:val="baseline"/>
                <w:lang w:val="en-US" w:eastAsia="zh-CN"/>
              </w:rPr>
              <w:t>能按时获得培训证书并及时上传人事系统得1分。</w:t>
            </w:r>
          </w:p>
        </w:tc>
        <w:tc>
          <w:tcPr>
            <w:tcW w:w="1471" w:type="dxa"/>
            <w:vMerge w:val="continue"/>
            <w:vAlign w:val="center"/>
          </w:tcPr>
          <w:p w14:paraId="7EBFBD2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p>
        </w:tc>
      </w:tr>
      <w:tr w14:paraId="3ED8F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191" w:type="dxa"/>
            <w:vMerge w:val="continue"/>
          </w:tcPr>
          <w:p w14:paraId="0BC775E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2963" w:type="dxa"/>
            <w:gridSpan w:val="3"/>
            <w:shd w:val="clear" w:color="auto" w:fill="auto"/>
            <w:vAlign w:val="center"/>
          </w:tcPr>
          <w:p w14:paraId="50521E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rPr>
              <w:t>发展性指标</w:t>
            </w:r>
          </w:p>
        </w:tc>
      </w:tr>
      <w:tr w14:paraId="40025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191" w:type="dxa"/>
            <w:vMerge w:val="continue"/>
          </w:tcPr>
          <w:p w14:paraId="3FB4502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60E52D6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“影响力”教师队伍建设（</w:t>
            </w:r>
            <w:r>
              <w:rPr>
                <w:rFonts w:hint="eastAsia" w:ascii="仿宋" w:hAnsi="仿宋" w:eastAsia="仿宋" w:cs="仿宋"/>
                <w:b w:val="0"/>
                <w:bCs w:val="0"/>
                <w:color w:val="auto"/>
                <w:sz w:val="21"/>
                <w:szCs w:val="21"/>
                <w:highlight w:val="none"/>
                <w:u w:val="none"/>
                <w:lang w:val="en-US" w:eastAsia="zh-CN"/>
                <w:woUserID w:val="1"/>
              </w:rPr>
              <w:t>2</w:t>
            </w:r>
            <w:r>
              <w:rPr>
                <w:rFonts w:hint="eastAsia" w:ascii="仿宋" w:hAnsi="仿宋" w:eastAsia="仿宋" w:cs="仿宋"/>
                <w:b w:val="0"/>
                <w:bCs w:val="0"/>
                <w:color w:val="auto"/>
                <w:sz w:val="21"/>
                <w:szCs w:val="21"/>
                <w:highlight w:val="none"/>
                <w:u w:val="none"/>
              </w:rPr>
              <w:t>分）</w:t>
            </w:r>
          </w:p>
        </w:tc>
        <w:tc>
          <w:tcPr>
            <w:tcW w:w="9763" w:type="dxa"/>
            <w:shd w:val="clear" w:color="auto" w:fill="auto"/>
            <w:vAlign w:val="center"/>
          </w:tcPr>
          <w:p w14:paraId="5FB9CFF4">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rPr>
              <w:t>1.</w:t>
            </w:r>
            <w:r>
              <w:rPr>
                <w:rFonts w:hint="eastAsia" w:ascii="仿宋" w:hAnsi="仿宋" w:eastAsia="仿宋" w:cs="仿宋"/>
                <w:b w:val="0"/>
                <w:bCs w:val="0"/>
                <w:color w:val="auto"/>
                <w:sz w:val="21"/>
                <w:szCs w:val="21"/>
                <w:highlight w:val="none"/>
                <w:u w:val="none"/>
                <w:lang w:val="en-US" w:eastAsia="zh-CN"/>
              </w:rPr>
              <w:t>本年度培养高水平教师或教师团队（1分）：获国家级荣誉1项或省级荣誉2项及以上为A；省级荣誉1项为B；市级荣誉为C；其余不得分。</w:t>
            </w:r>
          </w:p>
          <w:p w14:paraId="192FEC82">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rPr>
              <w:t>2.</w:t>
            </w:r>
            <w:r>
              <w:rPr>
                <w:rFonts w:hint="eastAsia" w:ascii="仿宋" w:hAnsi="仿宋" w:eastAsia="仿宋" w:cs="仿宋"/>
                <w:b w:val="0"/>
                <w:bCs w:val="0"/>
                <w:color w:val="auto"/>
                <w:sz w:val="21"/>
                <w:szCs w:val="21"/>
                <w:highlight w:val="none"/>
                <w:u w:val="none"/>
                <w:lang w:val="en-US" w:eastAsia="zh-CN"/>
              </w:rPr>
              <w:t>本年度教师参加市级及以上宣讲团或走村入社等形式开展理论宣讲活动（1分）：15人次及以上为A；10人次及以上为B；其余不得分。</w:t>
            </w:r>
          </w:p>
        </w:tc>
        <w:tc>
          <w:tcPr>
            <w:tcW w:w="1471" w:type="dxa"/>
            <w:vMerge w:val="restart"/>
            <w:shd w:val="clear" w:color="auto" w:fill="auto"/>
            <w:vAlign w:val="center"/>
          </w:tcPr>
          <w:p w14:paraId="158A871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人事处（教师工作部）</w:t>
            </w:r>
          </w:p>
        </w:tc>
      </w:tr>
      <w:tr w14:paraId="29FA8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191" w:type="dxa"/>
            <w:vMerge w:val="continue"/>
          </w:tcPr>
          <w:p w14:paraId="780769A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7E3F95B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人才引培</w:t>
            </w:r>
          </w:p>
          <w:p w14:paraId="74E4262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（1分）</w:t>
            </w:r>
          </w:p>
        </w:tc>
        <w:tc>
          <w:tcPr>
            <w:tcW w:w="9763" w:type="dxa"/>
            <w:shd w:val="clear" w:color="auto" w:fill="auto"/>
            <w:vAlign w:val="center"/>
          </w:tcPr>
          <w:p w14:paraId="23B5FC1C">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本年度引培高学历、高层次等高水平教师2名及以上为A；1名为B；其余不得分。</w:t>
            </w:r>
          </w:p>
        </w:tc>
        <w:tc>
          <w:tcPr>
            <w:tcW w:w="1471" w:type="dxa"/>
            <w:vMerge w:val="continue"/>
            <w:vAlign w:val="center"/>
          </w:tcPr>
          <w:p w14:paraId="5DFCFC8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p>
        </w:tc>
      </w:tr>
      <w:tr w14:paraId="262C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1" w:type="dxa"/>
            <w:vMerge w:val="continue"/>
          </w:tcPr>
          <w:p w14:paraId="41AB1EA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vAlign w:val="center"/>
          </w:tcPr>
          <w:p w14:paraId="0404187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团队建设</w:t>
            </w:r>
          </w:p>
          <w:p w14:paraId="43FC422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（1分）</w:t>
            </w:r>
          </w:p>
        </w:tc>
        <w:tc>
          <w:tcPr>
            <w:tcW w:w="9763" w:type="dxa"/>
            <w:vAlign w:val="center"/>
          </w:tcPr>
          <w:p w14:paraId="2BA23449">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本年度培育国家级教师创新团队（含名工作室等）1个及以上或省级2个及以上为A；省级1个为B；市级为C；其余不得分。</w:t>
            </w:r>
          </w:p>
        </w:tc>
        <w:tc>
          <w:tcPr>
            <w:tcW w:w="1471" w:type="dxa"/>
            <w:vMerge w:val="continue"/>
            <w:vAlign w:val="center"/>
          </w:tcPr>
          <w:p w14:paraId="785B9D4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p>
        </w:tc>
      </w:tr>
      <w:tr w14:paraId="4E370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1191" w:type="dxa"/>
            <w:vMerge w:val="restart"/>
            <w:vAlign w:val="center"/>
          </w:tcPr>
          <w:p w14:paraId="744D908C">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lang w:val="en-US" w:eastAsia="zh-CN"/>
              </w:rPr>
              <w:t>6.</w:t>
            </w:r>
            <w:r>
              <w:rPr>
                <w:rFonts w:hint="eastAsia" w:ascii="仿宋" w:hAnsi="仿宋" w:eastAsia="仿宋" w:cs="仿宋"/>
                <w:b w:val="0"/>
                <w:bCs w:val="0"/>
                <w:color w:val="auto"/>
                <w:sz w:val="21"/>
                <w:szCs w:val="21"/>
                <w:highlight w:val="none"/>
                <w:u w:val="none"/>
              </w:rPr>
              <w:t>国际化</w:t>
            </w:r>
            <w:r>
              <w:rPr>
                <w:rFonts w:hint="eastAsia" w:ascii="仿宋" w:hAnsi="仿宋" w:eastAsia="仿宋" w:cs="仿宋"/>
                <w:b w:val="0"/>
                <w:bCs w:val="0"/>
                <w:color w:val="auto"/>
                <w:sz w:val="21"/>
                <w:szCs w:val="21"/>
                <w:highlight w:val="none"/>
                <w:u w:val="none"/>
              </w:rPr>
              <w:br w:type="textWrapping"/>
            </w:r>
            <w:r>
              <w:rPr>
                <w:rFonts w:hint="eastAsia" w:ascii="仿宋" w:hAnsi="仿宋" w:eastAsia="仿宋" w:cs="仿宋"/>
                <w:b w:val="0"/>
                <w:bCs w:val="0"/>
                <w:color w:val="auto"/>
                <w:sz w:val="21"/>
                <w:szCs w:val="21"/>
                <w:highlight w:val="none"/>
                <w:u w:val="none"/>
              </w:rPr>
              <w:t>办学</w:t>
            </w:r>
          </w:p>
          <w:p w14:paraId="3A9DD84C">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（5分 ）</w:t>
            </w:r>
          </w:p>
        </w:tc>
        <w:tc>
          <w:tcPr>
            <w:tcW w:w="12963" w:type="dxa"/>
            <w:gridSpan w:val="3"/>
            <w:vAlign w:val="center"/>
          </w:tcPr>
          <w:p w14:paraId="18D5937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color w:val="auto"/>
                <w:sz w:val="21"/>
                <w:szCs w:val="21"/>
                <w:highlight w:val="none"/>
                <w:u w:val="none"/>
                <w:lang w:val="en-US" w:eastAsia="zh-CN" w:bidi="ar-SA"/>
              </w:rPr>
            </w:pPr>
            <w:r>
              <w:rPr>
                <w:rFonts w:hint="eastAsia" w:ascii="仿宋" w:hAnsi="仿宋" w:eastAsia="仿宋" w:cs="仿宋"/>
                <w:b/>
                <w:bCs/>
                <w:color w:val="auto"/>
                <w:sz w:val="21"/>
                <w:szCs w:val="21"/>
                <w:highlight w:val="none"/>
                <w:u w:val="none"/>
                <w:lang w:val="en-US" w:eastAsia="zh-CN" w:bidi="ar-SA"/>
              </w:rPr>
              <w:t>基础性指标</w:t>
            </w:r>
          </w:p>
        </w:tc>
      </w:tr>
      <w:tr w14:paraId="2FF5F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191" w:type="dxa"/>
            <w:vMerge w:val="continue"/>
            <w:vAlign w:val="center"/>
          </w:tcPr>
          <w:p w14:paraId="0A29191D">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rPr>
            </w:pPr>
          </w:p>
        </w:tc>
        <w:tc>
          <w:tcPr>
            <w:tcW w:w="1729" w:type="dxa"/>
            <w:vAlign w:val="center"/>
          </w:tcPr>
          <w:p w14:paraId="2D9394B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国际化课程与基地建设</w:t>
            </w:r>
          </w:p>
          <w:p w14:paraId="0B5F7B8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（4分）</w:t>
            </w:r>
          </w:p>
        </w:tc>
        <w:tc>
          <w:tcPr>
            <w:tcW w:w="9763" w:type="dxa"/>
            <w:vAlign w:val="center"/>
          </w:tcPr>
          <w:p w14:paraId="2A231896">
            <w:pPr>
              <w:keepNext w:val="0"/>
              <w:keepLines w:val="0"/>
              <w:widowControl/>
              <w:suppressLineNumbers w:val="0"/>
              <w:jc w:val="left"/>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rPr>
              <w:t>1.</w:t>
            </w:r>
            <w:r>
              <w:rPr>
                <w:rFonts w:hint="eastAsia" w:ascii="仿宋" w:hAnsi="仿宋" w:eastAsia="仿宋" w:cs="仿宋"/>
                <w:b w:val="0"/>
                <w:bCs w:val="0"/>
                <w:color w:val="auto"/>
                <w:sz w:val="21"/>
                <w:szCs w:val="21"/>
                <w:highlight w:val="none"/>
                <w:u w:val="none"/>
                <w:lang w:val="en-US" w:eastAsia="zh-CN"/>
              </w:rPr>
              <w:t>建设面向来华留学生的国际人文交流/研学课程或中国国情教育课程0.5分/门；建成并实际应用1分/门。</w:t>
            </w:r>
          </w:p>
          <w:p w14:paraId="08C33096">
            <w:pPr>
              <w:keepNext w:val="0"/>
              <w:keepLines w:val="0"/>
              <w:widowControl/>
              <w:suppressLineNumbers w:val="0"/>
              <w:jc w:val="left"/>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rPr>
              <w:t>2.</w:t>
            </w:r>
            <w:r>
              <w:rPr>
                <w:rFonts w:hint="eastAsia" w:ascii="仿宋" w:hAnsi="仿宋" w:eastAsia="仿宋" w:cs="仿宋"/>
                <w:b w:val="0"/>
                <w:bCs w:val="0"/>
                <w:color w:val="auto"/>
                <w:sz w:val="21"/>
                <w:szCs w:val="21"/>
                <w:highlight w:val="none"/>
                <w:u w:val="none"/>
                <w:lang w:val="en-US" w:eastAsia="zh-CN"/>
              </w:rPr>
              <w:t>派出师资到我校境外办学机构任教得1分。</w:t>
            </w:r>
          </w:p>
          <w:p w14:paraId="50E3D5B7">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rPr>
              <w:t>3.</w:t>
            </w:r>
            <w:r>
              <w:rPr>
                <w:rFonts w:hint="eastAsia" w:ascii="仿宋" w:hAnsi="仿宋" w:eastAsia="仿宋" w:cs="仿宋"/>
                <w:b w:val="0"/>
                <w:bCs w:val="0"/>
                <w:color w:val="auto"/>
                <w:sz w:val="21"/>
                <w:szCs w:val="21"/>
                <w:highlight w:val="none"/>
                <w:u w:val="none"/>
                <w:lang w:val="en-US" w:eastAsia="zh-CN"/>
              </w:rPr>
              <w:t>构建“中文+技能”文化体验中心/研学基地0.5分/个，最高1分。</w:t>
            </w:r>
          </w:p>
          <w:p w14:paraId="159BC429">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rPr>
              <w:t>4.</w:t>
            </w:r>
            <w:r>
              <w:rPr>
                <w:rFonts w:hint="eastAsia" w:ascii="仿宋" w:hAnsi="仿宋" w:eastAsia="仿宋" w:cs="仿宋"/>
                <w:b w:val="0"/>
                <w:bCs w:val="0"/>
                <w:color w:val="auto"/>
                <w:sz w:val="21"/>
                <w:szCs w:val="21"/>
                <w:highlight w:val="none"/>
                <w:u w:val="none"/>
                <w:lang w:val="en-US" w:eastAsia="zh-CN"/>
              </w:rPr>
              <w:t>独立联络开展国际文化交流团2项，得1分。</w:t>
            </w:r>
          </w:p>
        </w:tc>
        <w:tc>
          <w:tcPr>
            <w:tcW w:w="1471" w:type="dxa"/>
            <w:vAlign w:val="center"/>
          </w:tcPr>
          <w:p w14:paraId="63469EC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eastAsia="zh-CN"/>
              </w:rPr>
            </w:pPr>
            <w:r>
              <w:rPr>
                <w:rFonts w:hint="eastAsia" w:ascii="仿宋" w:hAnsi="仿宋" w:eastAsia="仿宋" w:cs="仿宋"/>
                <w:b w:val="0"/>
                <w:bCs w:val="0"/>
                <w:color w:val="auto"/>
                <w:sz w:val="21"/>
                <w:szCs w:val="21"/>
                <w:highlight w:val="none"/>
                <w:u w:val="none"/>
              </w:rPr>
              <w:t>国际交流合作处（港澳台办</w:t>
            </w:r>
            <w:r>
              <w:rPr>
                <w:rFonts w:hint="eastAsia" w:ascii="仿宋" w:hAnsi="仿宋" w:eastAsia="仿宋" w:cs="仿宋"/>
                <w:b w:val="0"/>
                <w:bCs w:val="0"/>
                <w:color w:val="auto"/>
                <w:sz w:val="21"/>
                <w:szCs w:val="21"/>
                <w:highlight w:val="none"/>
                <w:u w:val="none"/>
                <w:lang w:eastAsia="zh-CN"/>
              </w:rPr>
              <w:t>公室）</w:t>
            </w:r>
          </w:p>
        </w:tc>
      </w:tr>
      <w:tr w14:paraId="11C72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191" w:type="dxa"/>
            <w:vMerge w:val="continue"/>
            <w:vAlign w:val="center"/>
          </w:tcPr>
          <w:p w14:paraId="753551B6">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rPr>
            </w:pPr>
          </w:p>
        </w:tc>
        <w:tc>
          <w:tcPr>
            <w:tcW w:w="12963" w:type="dxa"/>
            <w:gridSpan w:val="3"/>
            <w:vAlign w:val="center"/>
          </w:tcPr>
          <w:p w14:paraId="09A76E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color w:val="auto"/>
                <w:sz w:val="21"/>
                <w:szCs w:val="21"/>
                <w:highlight w:val="none"/>
                <w:u w:val="none"/>
                <w:lang w:val="en-US" w:eastAsia="zh-CN" w:bidi="ar-SA"/>
              </w:rPr>
            </w:pPr>
            <w:r>
              <w:rPr>
                <w:rFonts w:hint="eastAsia" w:ascii="仿宋" w:hAnsi="仿宋" w:eastAsia="仿宋" w:cs="仿宋"/>
                <w:b/>
                <w:bCs/>
                <w:color w:val="auto"/>
                <w:sz w:val="21"/>
                <w:szCs w:val="21"/>
                <w:highlight w:val="none"/>
                <w:u w:val="none"/>
                <w:lang w:val="en-US" w:eastAsia="zh-CN" w:bidi="ar-SA"/>
              </w:rPr>
              <w:t>发展性指标</w:t>
            </w:r>
          </w:p>
        </w:tc>
      </w:tr>
      <w:tr w14:paraId="614C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191" w:type="dxa"/>
            <w:vMerge w:val="continue"/>
            <w:vAlign w:val="center"/>
          </w:tcPr>
          <w:p w14:paraId="3823C3A0">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rPr>
            </w:pPr>
          </w:p>
        </w:tc>
        <w:tc>
          <w:tcPr>
            <w:tcW w:w="1729" w:type="dxa"/>
            <w:vAlign w:val="center"/>
          </w:tcPr>
          <w:p w14:paraId="3DA9F54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师生国际交流</w:t>
            </w:r>
          </w:p>
          <w:p w14:paraId="7D3688A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eastAsia="zh-CN"/>
              </w:rPr>
            </w:pP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1分</w:t>
            </w:r>
            <w:r>
              <w:rPr>
                <w:rFonts w:hint="eastAsia" w:ascii="仿宋" w:hAnsi="仿宋" w:eastAsia="仿宋" w:cs="仿宋"/>
                <w:b w:val="0"/>
                <w:bCs w:val="0"/>
                <w:color w:val="auto"/>
                <w:sz w:val="21"/>
                <w:szCs w:val="21"/>
                <w:highlight w:val="none"/>
                <w:u w:val="none"/>
                <w:lang w:eastAsia="zh-CN"/>
              </w:rPr>
              <w:t>）</w:t>
            </w:r>
          </w:p>
        </w:tc>
        <w:tc>
          <w:tcPr>
            <w:tcW w:w="9763" w:type="dxa"/>
            <w:vAlign w:val="center"/>
          </w:tcPr>
          <w:p w14:paraId="67F647B8">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参与校级以上重大国际交流合作活动（含派出教职工担任志愿者等）为A；其余不得分。</w:t>
            </w:r>
          </w:p>
        </w:tc>
        <w:tc>
          <w:tcPr>
            <w:tcW w:w="1471" w:type="dxa"/>
            <w:vAlign w:val="center"/>
          </w:tcPr>
          <w:p w14:paraId="24C8F31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eastAsia="zh-CN"/>
              </w:rPr>
            </w:pPr>
            <w:r>
              <w:rPr>
                <w:rFonts w:hint="eastAsia" w:ascii="仿宋" w:hAnsi="仿宋" w:eastAsia="仿宋" w:cs="仿宋"/>
                <w:b w:val="0"/>
                <w:bCs w:val="0"/>
                <w:color w:val="auto"/>
                <w:sz w:val="21"/>
                <w:szCs w:val="21"/>
                <w:highlight w:val="none"/>
                <w:u w:val="none"/>
              </w:rPr>
              <w:t>国际交流合作处（港澳台办</w:t>
            </w:r>
            <w:r>
              <w:rPr>
                <w:rFonts w:hint="eastAsia" w:ascii="仿宋" w:hAnsi="仿宋" w:eastAsia="仿宋" w:cs="仿宋"/>
                <w:b w:val="0"/>
                <w:bCs w:val="0"/>
                <w:color w:val="auto"/>
                <w:sz w:val="21"/>
                <w:szCs w:val="21"/>
                <w:highlight w:val="none"/>
                <w:u w:val="none"/>
                <w:lang w:eastAsia="zh-CN"/>
              </w:rPr>
              <w:t>公室）</w:t>
            </w:r>
          </w:p>
        </w:tc>
      </w:tr>
      <w:tr w14:paraId="78826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191" w:type="dxa"/>
            <w:vMerge w:val="restart"/>
            <w:shd w:val="clear" w:color="auto" w:fill="auto"/>
            <w:vAlign w:val="center"/>
          </w:tcPr>
          <w:p w14:paraId="2089199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7.</w:t>
            </w:r>
            <w:r>
              <w:rPr>
                <w:rFonts w:hint="eastAsia" w:ascii="仿宋" w:hAnsi="仿宋" w:eastAsia="仿宋" w:cs="仿宋"/>
                <w:b w:val="0"/>
                <w:bCs w:val="0"/>
                <w:color w:val="auto"/>
                <w:sz w:val="21"/>
                <w:szCs w:val="21"/>
                <w:highlight w:val="none"/>
                <w:u w:val="none"/>
              </w:rPr>
              <w:t>综合管理</w:t>
            </w: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11分）</w:t>
            </w:r>
          </w:p>
          <w:p w14:paraId="5F171B9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p>
        </w:tc>
        <w:tc>
          <w:tcPr>
            <w:tcW w:w="12963" w:type="dxa"/>
            <w:gridSpan w:val="3"/>
            <w:shd w:val="clear" w:color="auto" w:fill="auto"/>
            <w:vAlign w:val="center"/>
          </w:tcPr>
          <w:p w14:paraId="7F638A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color w:val="auto"/>
                <w:sz w:val="21"/>
                <w:szCs w:val="21"/>
                <w:highlight w:val="none"/>
                <w:u w:val="none"/>
                <w:lang w:val="en-US" w:eastAsia="zh-CN" w:bidi="ar-SA"/>
              </w:rPr>
            </w:pPr>
            <w:r>
              <w:rPr>
                <w:rFonts w:hint="eastAsia" w:ascii="仿宋" w:hAnsi="仿宋" w:eastAsia="仿宋" w:cs="仿宋"/>
                <w:b/>
                <w:bCs/>
                <w:color w:val="auto"/>
                <w:sz w:val="21"/>
                <w:szCs w:val="21"/>
                <w:highlight w:val="none"/>
                <w:u w:val="none"/>
                <w:lang w:val="en-US" w:eastAsia="zh-CN" w:bidi="ar-SA"/>
              </w:rPr>
              <w:t>基础性指标</w:t>
            </w:r>
          </w:p>
        </w:tc>
      </w:tr>
      <w:tr w14:paraId="1BC56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1191" w:type="dxa"/>
            <w:vMerge w:val="continue"/>
            <w:shd w:val="clear" w:color="auto" w:fill="auto"/>
            <w:vAlign w:val="center"/>
          </w:tcPr>
          <w:p w14:paraId="6272ED10">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p>
        </w:tc>
        <w:tc>
          <w:tcPr>
            <w:tcW w:w="1729" w:type="dxa"/>
            <w:shd w:val="clear" w:color="auto" w:fill="auto"/>
            <w:vAlign w:val="center"/>
          </w:tcPr>
          <w:p w14:paraId="6481007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工作效能及年度计划执行情况</w:t>
            </w:r>
            <w:r>
              <w:rPr>
                <w:rFonts w:hint="eastAsia" w:ascii="仿宋" w:hAnsi="仿宋" w:eastAsia="仿宋" w:cs="仿宋"/>
                <w:b w:val="0"/>
                <w:bCs w:val="0"/>
                <w:color w:val="auto"/>
                <w:sz w:val="21"/>
                <w:szCs w:val="21"/>
                <w:highlight w:val="none"/>
                <w:u w:val="none"/>
                <w:lang w:val="en-US" w:eastAsia="zh-CN"/>
              </w:rPr>
              <w:t>（1分）</w:t>
            </w:r>
          </w:p>
        </w:tc>
        <w:tc>
          <w:tcPr>
            <w:tcW w:w="9763" w:type="dxa"/>
            <w:shd w:val="clear" w:color="auto" w:fill="auto"/>
            <w:vAlign w:val="center"/>
          </w:tcPr>
          <w:p w14:paraId="75CF9FFF">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依据年度工作过程材料、工作任务执行完成率等内容，按格次赋分法赋分。</w:t>
            </w:r>
          </w:p>
        </w:tc>
        <w:tc>
          <w:tcPr>
            <w:tcW w:w="1471" w:type="dxa"/>
            <w:shd w:val="clear" w:color="auto" w:fill="auto"/>
            <w:vAlign w:val="center"/>
          </w:tcPr>
          <w:p w14:paraId="30FEC0D8">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办公室（巡察办公室）</w:t>
            </w:r>
          </w:p>
        </w:tc>
      </w:tr>
      <w:tr w14:paraId="3D57B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1" w:type="dxa"/>
            <w:vMerge w:val="continue"/>
            <w:vAlign w:val="center"/>
          </w:tcPr>
          <w:p w14:paraId="11BCA59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7B17685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财务执行与资产管理</w:t>
            </w:r>
            <w:r>
              <w:rPr>
                <w:rFonts w:hint="eastAsia" w:ascii="仿宋" w:hAnsi="仿宋" w:eastAsia="仿宋" w:cs="仿宋"/>
                <w:b w:val="0"/>
                <w:bCs w:val="0"/>
                <w:color w:val="auto"/>
                <w:sz w:val="21"/>
                <w:szCs w:val="21"/>
                <w:highlight w:val="none"/>
                <w:u w:val="none"/>
                <w:lang w:val="en-US" w:eastAsia="zh-CN"/>
              </w:rPr>
              <w:t>（1分）</w:t>
            </w:r>
          </w:p>
        </w:tc>
        <w:tc>
          <w:tcPr>
            <w:tcW w:w="9763" w:type="dxa"/>
            <w:shd w:val="clear" w:color="auto" w:fill="auto"/>
            <w:vAlign w:val="center"/>
          </w:tcPr>
          <w:p w14:paraId="38A3A9B4">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bCs/>
                <w:color w:val="auto"/>
                <w:sz w:val="21"/>
                <w:szCs w:val="21"/>
                <w:u w:val="none"/>
                <w:lang w:val="en-US" w:eastAsia="zh-CN"/>
              </w:rPr>
              <w:t>1.</w:t>
            </w:r>
            <w:r>
              <w:rPr>
                <w:rFonts w:hint="eastAsia" w:ascii="仿宋" w:hAnsi="仿宋" w:eastAsia="仿宋" w:cs="仿宋"/>
                <w:b w:val="0"/>
                <w:bCs w:val="0"/>
                <w:color w:val="auto"/>
                <w:sz w:val="21"/>
                <w:szCs w:val="21"/>
                <w:u w:val="none"/>
                <w:lang w:val="en-US" w:eastAsia="zh-CN"/>
              </w:rPr>
              <w:t>在承接财政专项资金项目过程中，资金执行进度未达到学校要求、使用绩效低下的，每项扣0.5分。</w:t>
            </w:r>
            <w:r>
              <w:rPr>
                <w:rFonts w:hint="eastAsia" w:ascii="仿宋" w:hAnsi="仿宋" w:eastAsia="仿宋" w:cs="仿宋"/>
                <w:b w:val="0"/>
                <w:bCs w:val="0"/>
                <w:color w:val="auto"/>
                <w:sz w:val="21"/>
                <w:szCs w:val="21"/>
                <w:u w:val="none"/>
                <w:lang w:val="en-US" w:eastAsia="zh-CN"/>
              </w:rPr>
              <w:br w:type="textWrapping"/>
            </w:r>
            <w:r>
              <w:rPr>
                <w:rFonts w:hint="eastAsia" w:ascii="仿宋" w:hAnsi="仿宋" w:eastAsia="仿宋" w:cs="仿宋"/>
                <w:b/>
                <w:bCs/>
                <w:color w:val="auto"/>
                <w:sz w:val="21"/>
                <w:szCs w:val="21"/>
                <w:u w:val="none"/>
                <w:lang w:val="en-US" w:eastAsia="zh-CN"/>
              </w:rPr>
              <w:t>2.</w:t>
            </w:r>
            <w:r>
              <w:rPr>
                <w:rFonts w:hint="eastAsia" w:ascii="仿宋" w:hAnsi="仿宋" w:eastAsia="仿宋" w:cs="仿宋"/>
                <w:b w:val="0"/>
                <w:bCs w:val="0"/>
                <w:color w:val="auto"/>
                <w:sz w:val="21"/>
                <w:szCs w:val="21"/>
                <w:u w:val="none"/>
                <w:lang w:val="en-US" w:eastAsia="zh-CN"/>
              </w:rPr>
              <w:t>在资产管理、采购管理及财经政策执行过程中，出现工作不到位等责任事件，每次扣0.5分。</w:t>
            </w:r>
            <w:r>
              <w:rPr>
                <w:rFonts w:hint="eastAsia" w:ascii="仿宋" w:hAnsi="仿宋" w:eastAsia="仿宋" w:cs="仿宋"/>
                <w:b w:val="0"/>
                <w:bCs w:val="0"/>
                <w:color w:val="auto"/>
                <w:sz w:val="21"/>
                <w:szCs w:val="21"/>
                <w:u w:val="none"/>
                <w:lang w:val="en-US" w:eastAsia="zh-CN"/>
              </w:rPr>
              <w:br w:type="textWrapping"/>
            </w:r>
            <w:r>
              <w:rPr>
                <w:rFonts w:hint="eastAsia" w:ascii="仿宋" w:hAnsi="仿宋" w:eastAsia="仿宋" w:cs="仿宋"/>
                <w:b/>
                <w:bCs/>
                <w:color w:val="auto"/>
                <w:sz w:val="21"/>
                <w:szCs w:val="21"/>
                <w:u w:val="none"/>
                <w:lang w:val="en-US" w:eastAsia="zh-CN"/>
              </w:rPr>
              <w:t>3.</w:t>
            </w:r>
            <w:r>
              <w:rPr>
                <w:rFonts w:hint="eastAsia" w:ascii="仿宋" w:hAnsi="仿宋" w:eastAsia="仿宋" w:cs="仿宋"/>
                <w:b w:val="0"/>
                <w:bCs w:val="0"/>
                <w:color w:val="auto"/>
                <w:sz w:val="21"/>
                <w:szCs w:val="21"/>
                <w:u w:val="none"/>
                <w:lang w:val="en-US" w:eastAsia="zh-CN"/>
              </w:rPr>
              <w:t>校内预算资金执行过程中，出现脱离学校中心工作，造成铺张浪费，每次扣0.5分。</w:t>
            </w:r>
            <w:r>
              <w:rPr>
                <w:rFonts w:hint="eastAsia" w:ascii="仿宋" w:hAnsi="仿宋" w:eastAsia="仿宋" w:cs="仿宋"/>
                <w:b w:val="0"/>
                <w:bCs w:val="0"/>
                <w:color w:val="auto"/>
                <w:sz w:val="21"/>
                <w:szCs w:val="21"/>
                <w:u w:val="none"/>
                <w:lang w:val="en-US" w:eastAsia="zh-CN"/>
              </w:rPr>
              <w:br w:type="textWrapping"/>
            </w:r>
            <w:r>
              <w:rPr>
                <w:rFonts w:hint="eastAsia" w:ascii="仿宋" w:hAnsi="仿宋" w:eastAsia="仿宋" w:cs="仿宋"/>
                <w:b w:val="0"/>
                <w:bCs w:val="0"/>
                <w:color w:val="auto"/>
                <w:sz w:val="21"/>
                <w:szCs w:val="21"/>
                <w:u w:val="none"/>
                <w:lang w:val="en-US" w:eastAsia="zh-CN"/>
              </w:rPr>
              <w:t>以上扣分项目扣完为止。</w:t>
            </w:r>
          </w:p>
        </w:tc>
        <w:tc>
          <w:tcPr>
            <w:tcW w:w="1471" w:type="dxa"/>
            <w:shd w:val="clear" w:color="auto" w:fill="auto"/>
            <w:vAlign w:val="center"/>
          </w:tcPr>
          <w:p w14:paraId="12125D89">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计划财务处（资产管理处）</w:t>
            </w:r>
          </w:p>
        </w:tc>
      </w:tr>
      <w:tr w14:paraId="5434B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191" w:type="dxa"/>
            <w:vMerge w:val="continue"/>
            <w:vAlign w:val="center"/>
          </w:tcPr>
          <w:p w14:paraId="53FB1C2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7F437F0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质量评价与督导</w:t>
            </w:r>
          </w:p>
          <w:p w14:paraId="497173D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（2分）</w:t>
            </w:r>
          </w:p>
        </w:tc>
        <w:tc>
          <w:tcPr>
            <w:tcW w:w="9763" w:type="dxa"/>
            <w:shd w:val="clear" w:color="auto" w:fill="auto"/>
            <w:vAlign w:val="center"/>
          </w:tcPr>
          <w:p w14:paraId="75785604">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依据年度教学督导听课和内部质量保证体系执行情况，按格次赋分法赋分。</w:t>
            </w:r>
          </w:p>
        </w:tc>
        <w:tc>
          <w:tcPr>
            <w:tcW w:w="1471" w:type="dxa"/>
            <w:shd w:val="clear" w:color="auto" w:fill="auto"/>
            <w:vAlign w:val="center"/>
          </w:tcPr>
          <w:p w14:paraId="4C910205">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质量管理办公室（督导办公室）</w:t>
            </w:r>
          </w:p>
        </w:tc>
      </w:tr>
      <w:tr w14:paraId="5A14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1191" w:type="dxa"/>
            <w:vMerge w:val="continue"/>
            <w:vAlign w:val="center"/>
          </w:tcPr>
          <w:p w14:paraId="598C131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0A2B4EA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校园安全稳定</w:t>
            </w:r>
          </w:p>
          <w:p w14:paraId="02FFFBC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（4分）</w:t>
            </w:r>
          </w:p>
        </w:tc>
        <w:tc>
          <w:tcPr>
            <w:tcW w:w="9763" w:type="dxa"/>
            <w:shd w:val="clear" w:color="auto" w:fill="auto"/>
            <w:vAlign w:val="center"/>
          </w:tcPr>
          <w:p w14:paraId="741D4340">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依据校园安全稳定主体责任和综治、交通、消防管理责任等落实情况，按格次赋分法赋分。</w:t>
            </w:r>
          </w:p>
        </w:tc>
        <w:tc>
          <w:tcPr>
            <w:tcW w:w="1471" w:type="dxa"/>
            <w:shd w:val="clear" w:color="auto" w:fill="auto"/>
            <w:vAlign w:val="center"/>
          </w:tcPr>
          <w:p w14:paraId="48A3D6E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安保部</w:t>
            </w:r>
            <w:r>
              <w:rPr>
                <w:rFonts w:hint="eastAsia" w:ascii="仿宋" w:hAnsi="仿宋" w:eastAsia="仿宋" w:cs="仿宋"/>
                <w:b w:val="0"/>
                <w:bCs w:val="0"/>
                <w:color w:val="auto"/>
                <w:sz w:val="21"/>
                <w:szCs w:val="21"/>
                <w:highlight w:val="none"/>
                <w:u w:val="none"/>
              </w:rPr>
              <w:t>（人武部）</w:t>
            </w:r>
          </w:p>
        </w:tc>
      </w:tr>
      <w:tr w14:paraId="65B06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191" w:type="dxa"/>
            <w:vMerge w:val="continue"/>
            <w:vAlign w:val="center"/>
          </w:tcPr>
          <w:p w14:paraId="62EFDB6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3513BBC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数字化改革</w:t>
            </w:r>
          </w:p>
          <w:p w14:paraId="355372E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（1.5分）</w:t>
            </w:r>
          </w:p>
        </w:tc>
        <w:tc>
          <w:tcPr>
            <w:tcW w:w="9763" w:type="dxa"/>
            <w:shd w:val="clear" w:color="auto" w:fill="auto"/>
            <w:vAlign w:val="center"/>
          </w:tcPr>
          <w:p w14:paraId="20E4637C">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w w:val="97"/>
                <w:sz w:val="21"/>
                <w:szCs w:val="21"/>
                <w:highlight w:val="none"/>
                <w:u w:val="none"/>
              </w:rPr>
            </w:pPr>
            <w:r>
              <w:rPr>
                <w:rFonts w:hint="eastAsia" w:ascii="仿宋" w:hAnsi="仿宋" w:eastAsia="仿宋" w:cs="仿宋"/>
                <w:b/>
                <w:bCs/>
                <w:color w:val="auto"/>
                <w:w w:val="97"/>
                <w:sz w:val="21"/>
                <w:szCs w:val="21"/>
                <w:highlight w:val="none"/>
                <w:u w:val="none"/>
                <w:lang w:val="en-US" w:eastAsia="zh-CN"/>
              </w:rPr>
              <w:t>1.</w:t>
            </w:r>
            <w:r>
              <w:rPr>
                <w:rFonts w:hint="eastAsia" w:ascii="仿宋" w:hAnsi="仿宋" w:eastAsia="仿宋" w:cs="仿宋"/>
                <w:b w:val="0"/>
                <w:bCs w:val="0"/>
                <w:color w:val="auto"/>
                <w:w w:val="97"/>
                <w:sz w:val="21"/>
                <w:szCs w:val="21"/>
                <w:highlight w:val="none"/>
                <w:u w:val="none"/>
                <w:lang w:val="en-US" w:eastAsia="zh-CN"/>
              </w:rPr>
              <w:t>面向教师组织开展数字素养和能力提升专题培训，0.2分/次，</w:t>
            </w:r>
            <w:r>
              <w:rPr>
                <w:rFonts w:hint="eastAsia" w:ascii="仿宋" w:hAnsi="仿宋" w:eastAsia="仿宋" w:cs="仿宋"/>
                <w:b w:val="0"/>
                <w:bCs w:val="0"/>
                <w:color w:val="auto"/>
                <w:sz w:val="21"/>
                <w:szCs w:val="21"/>
                <w:highlight w:val="none"/>
                <w:u w:val="none"/>
              </w:rPr>
              <w:t>累计不超过</w:t>
            </w:r>
            <w:r>
              <w:rPr>
                <w:rFonts w:hint="eastAsia" w:ascii="仿宋" w:hAnsi="仿宋" w:eastAsia="仿宋" w:cs="仿宋"/>
                <w:b w:val="0"/>
                <w:bCs w:val="0"/>
                <w:color w:val="auto"/>
                <w:sz w:val="21"/>
                <w:szCs w:val="21"/>
                <w:highlight w:val="none"/>
                <w:u w:val="none"/>
                <w:lang w:val="en-US" w:eastAsia="zh-CN"/>
              </w:rPr>
              <w:t>0.5分</w:t>
            </w:r>
            <w:r>
              <w:rPr>
                <w:rFonts w:hint="eastAsia" w:ascii="仿宋" w:hAnsi="仿宋" w:eastAsia="仿宋" w:cs="仿宋"/>
                <w:b w:val="0"/>
                <w:bCs w:val="0"/>
                <w:color w:val="auto"/>
                <w:w w:val="97"/>
                <w:sz w:val="21"/>
                <w:szCs w:val="21"/>
                <w:highlight w:val="none"/>
                <w:u w:val="none"/>
                <w:lang w:val="en-US" w:eastAsia="zh-CN"/>
              </w:rPr>
              <w:t>。</w:t>
            </w:r>
          </w:p>
          <w:p w14:paraId="52E923D6">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rPr>
              <w:t>2.</w:t>
            </w:r>
            <w:r>
              <w:rPr>
                <w:rFonts w:hint="eastAsia" w:ascii="仿宋" w:hAnsi="仿宋" w:eastAsia="仿宋" w:cs="仿宋"/>
                <w:b w:val="0"/>
                <w:bCs w:val="0"/>
                <w:color w:val="auto"/>
                <w:sz w:val="21"/>
                <w:szCs w:val="21"/>
                <w:highlight w:val="none"/>
                <w:u w:val="none"/>
                <w:lang w:val="en-US" w:eastAsia="zh-CN"/>
              </w:rPr>
              <w:t>积极配合参与学校数字化转型和智慧校园工作（数据治理、应用推广、问卷调查、网络安全等），依据参与次数赋分，满分1分。</w:t>
            </w:r>
          </w:p>
        </w:tc>
        <w:tc>
          <w:tcPr>
            <w:tcW w:w="1471" w:type="dxa"/>
            <w:shd w:val="clear" w:color="auto" w:fill="auto"/>
            <w:vAlign w:val="center"/>
          </w:tcPr>
          <w:p w14:paraId="68FD8BD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图书馆（信息中心）</w:t>
            </w:r>
          </w:p>
        </w:tc>
      </w:tr>
      <w:tr w14:paraId="2C22A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1191" w:type="dxa"/>
            <w:vMerge w:val="continue"/>
            <w:vAlign w:val="center"/>
          </w:tcPr>
          <w:p w14:paraId="6F02A6D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2963" w:type="dxa"/>
            <w:gridSpan w:val="3"/>
            <w:shd w:val="clear" w:color="auto" w:fill="auto"/>
            <w:vAlign w:val="center"/>
          </w:tcPr>
          <w:p w14:paraId="627235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rPr>
              <w:t>发展性指标</w:t>
            </w:r>
          </w:p>
        </w:tc>
      </w:tr>
      <w:tr w14:paraId="1A4E6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1191" w:type="dxa"/>
            <w:vMerge w:val="continue"/>
            <w:vAlign w:val="center"/>
          </w:tcPr>
          <w:p w14:paraId="40879EA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val="0"/>
                <w:bCs w:val="0"/>
                <w:color w:val="auto"/>
                <w:sz w:val="21"/>
                <w:szCs w:val="21"/>
                <w:highlight w:val="none"/>
                <w:u w:val="none"/>
              </w:rPr>
            </w:pPr>
          </w:p>
        </w:tc>
        <w:tc>
          <w:tcPr>
            <w:tcW w:w="1729" w:type="dxa"/>
            <w:shd w:val="clear" w:color="auto" w:fill="auto"/>
            <w:vAlign w:val="center"/>
          </w:tcPr>
          <w:p w14:paraId="08D18B27">
            <w:pPr>
              <w:keepNext w:val="0"/>
              <w:keepLines w:val="0"/>
              <w:pageBreakBefore w:val="0"/>
              <w:widowControl w:val="0"/>
              <w:kinsoku/>
              <w:wordWrap/>
              <w:overflowPunct/>
              <w:topLinePunct w:val="0"/>
              <w:autoSpaceDN/>
              <w:bidi w:val="0"/>
              <w:adjustRightInd/>
              <w:snapToGrid/>
              <w:spacing w:line="280" w:lineRule="exact"/>
              <w:jc w:val="center"/>
              <w:textAlignment w:val="auto"/>
              <w:rPr>
                <w:rFonts w:hint="eastAsia" w:ascii="仿宋" w:hAnsi="仿宋" w:eastAsia="仿宋" w:cs="仿宋"/>
                <w:b w:val="0"/>
                <w:bCs w:val="0"/>
                <w:sz w:val="21"/>
                <w:szCs w:val="21"/>
                <w:highlight w:val="none"/>
                <w:u w:val="none"/>
                <w:lang w:val="en-US" w:eastAsia="zh-CN" w:bidi="ar-SA"/>
              </w:rPr>
            </w:pPr>
            <w:r>
              <w:rPr>
                <w:rFonts w:hint="eastAsia" w:ascii="仿宋" w:hAnsi="仿宋" w:eastAsia="仿宋" w:cs="仿宋"/>
                <w:b w:val="0"/>
                <w:bCs w:val="0"/>
                <w:sz w:val="21"/>
                <w:szCs w:val="21"/>
                <w:highlight w:val="none"/>
                <w:u w:val="none"/>
                <w:lang w:val="en-US" w:eastAsia="zh-CN"/>
              </w:rPr>
              <w:t>教育数字化改革创新（1.5分）</w:t>
            </w:r>
          </w:p>
        </w:tc>
        <w:tc>
          <w:tcPr>
            <w:tcW w:w="9763" w:type="dxa"/>
            <w:shd w:val="clear" w:color="auto" w:fill="auto"/>
            <w:vAlign w:val="center"/>
          </w:tcPr>
          <w:p w14:paraId="7D71F246">
            <w:pPr>
              <w:keepNext w:val="0"/>
              <w:keepLines w:val="0"/>
              <w:pageBreakBefore w:val="0"/>
              <w:widowControl w:val="0"/>
              <w:kinsoku/>
              <w:wordWrap/>
              <w:overflowPunct/>
              <w:topLinePunct w:val="0"/>
              <w:autoSpaceDN/>
              <w:bidi w:val="0"/>
              <w:adjustRightInd/>
              <w:snapToGrid/>
              <w:spacing w:line="280" w:lineRule="exact"/>
              <w:jc w:val="both"/>
              <w:textAlignment w:val="auto"/>
              <w:rPr>
                <w:rFonts w:hint="eastAsia" w:ascii="仿宋" w:hAnsi="仿宋" w:eastAsia="仿宋" w:cs="仿宋"/>
                <w:b w:val="0"/>
                <w:bCs w:val="0"/>
                <w:sz w:val="21"/>
                <w:szCs w:val="21"/>
                <w:u w:val="none"/>
                <w:lang w:val="en-US" w:eastAsia="zh-CN" w:bidi="ar-SA"/>
              </w:rPr>
            </w:pPr>
            <w:r>
              <w:rPr>
                <w:rFonts w:hint="eastAsia" w:ascii="仿宋" w:hAnsi="仿宋" w:eastAsia="仿宋" w:cs="仿宋"/>
                <w:b/>
                <w:bCs/>
                <w:color w:val="auto"/>
                <w:sz w:val="21"/>
                <w:szCs w:val="21"/>
                <w:highlight w:val="none"/>
                <w:u w:val="none"/>
                <w:lang w:val="en-US" w:eastAsia="zh-CN"/>
              </w:rPr>
              <w:t>1.</w:t>
            </w:r>
            <w:r>
              <w:rPr>
                <w:rFonts w:hint="eastAsia" w:ascii="仿宋" w:hAnsi="仿宋" w:eastAsia="仿宋" w:cs="仿宋"/>
                <w:b w:val="0"/>
                <w:bCs w:val="0"/>
                <w:color w:val="auto"/>
                <w:sz w:val="21"/>
                <w:szCs w:val="21"/>
                <w:highlight w:val="none"/>
                <w:u w:val="none"/>
                <w:lang w:val="en-US" w:eastAsia="zh-CN"/>
              </w:rPr>
              <w:t>获评市级及以上优秀案例及相关获奖1分/项；</w:t>
            </w:r>
            <w:r>
              <w:rPr>
                <w:rFonts w:hint="eastAsia" w:ascii="仿宋" w:hAnsi="仿宋" w:eastAsia="仿宋" w:cs="仿宋"/>
                <w:b w:val="0"/>
                <w:bCs w:val="0"/>
                <w:color w:val="auto"/>
                <w:sz w:val="21"/>
                <w:szCs w:val="21"/>
                <w:highlight w:val="none"/>
                <w:u w:val="none"/>
                <w:lang w:val="en-US" w:eastAsia="zh-CN"/>
              </w:rPr>
              <w:br w:type="textWrapping"/>
            </w:r>
            <w:r>
              <w:rPr>
                <w:rFonts w:hint="eastAsia" w:ascii="仿宋" w:hAnsi="仿宋" w:eastAsia="仿宋" w:cs="仿宋"/>
                <w:b/>
                <w:bCs/>
                <w:color w:val="auto"/>
                <w:sz w:val="21"/>
                <w:szCs w:val="21"/>
                <w:highlight w:val="none"/>
                <w:u w:val="none"/>
                <w:lang w:val="en-US" w:eastAsia="zh-CN"/>
              </w:rPr>
              <w:t>2.</w:t>
            </w:r>
            <w:r>
              <w:rPr>
                <w:rFonts w:hint="eastAsia" w:ascii="仿宋" w:hAnsi="仿宋" w:eastAsia="仿宋" w:cs="仿宋"/>
                <w:b w:val="0"/>
                <w:bCs w:val="0"/>
                <w:color w:val="auto"/>
                <w:sz w:val="21"/>
                <w:szCs w:val="21"/>
                <w:highlight w:val="none"/>
                <w:u w:val="none"/>
                <w:lang w:val="en-US" w:eastAsia="zh-CN"/>
              </w:rPr>
              <w:t>公开发表相关论文、出版相关专著或相关成果1分/项；</w:t>
            </w:r>
            <w:r>
              <w:rPr>
                <w:rFonts w:hint="eastAsia" w:ascii="仿宋" w:hAnsi="仿宋" w:eastAsia="仿宋" w:cs="仿宋"/>
                <w:b w:val="0"/>
                <w:bCs w:val="0"/>
                <w:color w:val="auto"/>
                <w:sz w:val="21"/>
                <w:szCs w:val="21"/>
                <w:highlight w:val="none"/>
                <w:u w:val="none"/>
                <w:lang w:val="en-US" w:eastAsia="zh-CN"/>
              </w:rPr>
              <w:br w:type="textWrapping"/>
            </w:r>
            <w:r>
              <w:rPr>
                <w:rFonts w:hint="eastAsia" w:ascii="仿宋" w:hAnsi="仿宋" w:eastAsia="仿宋" w:cs="仿宋"/>
                <w:b/>
                <w:bCs/>
                <w:color w:val="auto"/>
                <w:sz w:val="21"/>
                <w:szCs w:val="21"/>
                <w:highlight w:val="none"/>
                <w:u w:val="none"/>
                <w:lang w:val="en-US" w:eastAsia="zh-CN"/>
              </w:rPr>
              <w:t>3.</w:t>
            </w:r>
            <w:r>
              <w:rPr>
                <w:rFonts w:hint="eastAsia" w:ascii="仿宋" w:hAnsi="仿宋" w:eastAsia="仿宋" w:cs="仿宋"/>
                <w:b w:val="0"/>
                <w:bCs w:val="0"/>
                <w:color w:val="auto"/>
                <w:sz w:val="21"/>
                <w:szCs w:val="21"/>
                <w:highlight w:val="none"/>
                <w:u w:val="none"/>
                <w:lang w:val="en-US" w:eastAsia="zh-CN"/>
              </w:rPr>
              <w:t>相关工作获省级及以上媒体宣传1分/项。</w:t>
            </w:r>
            <w:r>
              <w:rPr>
                <w:rFonts w:hint="eastAsia" w:ascii="仿宋" w:hAnsi="仿宋" w:eastAsia="仿宋" w:cs="仿宋"/>
                <w:b w:val="0"/>
                <w:bCs w:val="0"/>
                <w:color w:val="auto"/>
                <w:sz w:val="21"/>
                <w:szCs w:val="21"/>
                <w:highlight w:val="none"/>
                <w:u w:val="none"/>
                <w:lang w:val="en-US" w:eastAsia="zh-CN"/>
              </w:rPr>
              <w:br w:type="textWrapping"/>
            </w:r>
            <w:r>
              <w:rPr>
                <w:rFonts w:hint="eastAsia" w:ascii="仿宋" w:hAnsi="仿宋" w:eastAsia="仿宋" w:cs="仿宋"/>
                <w:b w:val="0"/>
                <w:bCs w:val="0"/>
                <w:color w:val="auto"/>
                <w:sz w:val="21"/>
                <w:szCs w:val="21"/>
                <w:highlight w:val="none"/>
                <w:u w:val="none"/>
                <w:lang w:val="en-US" w:eastAsia="zh-CN"/>
              </w:rPr>
              <w:t>得3分及以上为A，2分为B，1分为C，其余不得分。</w:t>
            </w:r>
          </w:p>
        </w:tc>
        <w:tc>
          <w:tcPr>
            <w:tcW w:w="1471" w:type="dxa"/>
            <w:shd w:val="clear" w:color="auto" w:fill="auto"/>
            <w:vAlign w:val="center"/>
          </w:tcPr>
          <w:p w14:paraId="601E5F15">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图书馆（信息技术中心）</w:t>
            </w:r>
          </w:p>
        </w:tc>
      </w:tr>
    </w:tbl>
    <w:p w14:paraId="38ECD081">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仿宋_GB2312" w:hAnsi="仿宋_GB2312" w:eastAsia="仿宋_GB2312" w:cs="仿宋_GB2312"/>
          <w:b w:val="0"/>
          <w:bCs w:val="0"/>
          <w:color w:val="auto"/>
          <w:sz w:val="21"/>
          <w:szCs w:val="21"/>
          <w:u w:val="none"/>
          <w:lang w:val="en-US" w:eastAsia="zh-CN"/>
        </w:rPr>
      </w:pPr>
      <w:r>
        <w:rPr>
          <w:rFonts w:hint="eastAsia" w:ascii="仿宋_GB2312" w:hAnsi="仿宋_GB2312" w:eastAsia="仿宋_GB2312" w:cs="仿宋_GB2312"/>
          <w:b w:val="0"/>
          <w:bCs w:val="0"/>
          <w:color w:val="auto"/>
          <w:sz w:val="21"/>
          <w:szCs w:val="21"/>
          <w:u w:val="none"/>
          <w:lang w:val="en-US" w:eastAsia="zh-CN"/>
        </w:rPr>
        <w:t>备注：1.基础性指标19个64.5分，发展性指标16个35.5分。</w:t>
      </w:r>
    </w:p>
    <w:p w14:paraId="6FDD51D8">
      <w:pPr>
        <w:keepNext w:val="0"/>
        <w:keepLines w:val="0"/>
        <w:pageBreakBefore w:val="0"/>
        <w:widowControl w:val="0"/>
        <w:kinsoku/>
        <w:wordWrap/>
        <w:overflowPunct/>
        <w:topLinePunct w:val="0"/>
        <w:autoSpaceDE/>
        <w:autoSpaceDN/>
        <w:bidi w:val="0"/>
        <w:adjustRightInd/>
        <w:snapToGrid/>
        <w:spacing w:line="240" w:lineRule="auto"/>
        <w:ind w:firstLine="630" w:firstLineChars="300"/>
        <w:jc w:val="left"/>
        <w:textAlignment w:val="auto"/>
        <w:rPr>
          <w:rFonts w:hint="default" w:ascii="仿宋_GB2312" w:hAnsi="仿宋_GB2312" w:eastAsia="仿宋_GB2312" w:cs="仿宋_GB2312"/>
          <w:b w:val="0"/>
          <w:bCs w:val="0"/>
          <w:color w:val="auto"/>
          <w:sz w:val="21"/>
          <w:szCs w:val="21"/>
          <w:u w:val="none"/>
          <w:lang w:val="en-US" w:eastAsia="zh-CN"/>
        </w:rPr>
      </w:pPr>
      <w:r>
        <w:rPr>
          <w:rFonts w:hint="eastAsia" w:ascii="仿宋_GB2312" w:hAnsi="仿宋_GB2312" w:eastAsia="仿宋_GB2312" w:cs="仿宋_GB2312"/>
          <w:b w:val="0"/>
          <w:bCs w:val="0"/>
          <w:color w:val="auto"/>
          <w:sz w:val="21"/>
          <w:szCs w:val="21"/>
          <w:u w:val="none"/>
          <w:lang w:val="en-US" w:eastAsia="zh-CN"/>
        </w:rPr>
        <w:t>2.16个发展性指标至少选取13个指标，以13个指标得分比例作为剩余指标赋分依据。</w:t>
      </w:r>
    </w:p>
    <w:p w14:paraId="3293FF2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30" w:firstLineChars="300"/>
        <w:jc w:val="left"/>
        <w:textAlignment w:val="auto"/>
        <w:rPr>
          <w:rFonts w:hint="default"/>
          <w:b w:val="0"/>
          <w:bCs w:val="0"/>
          <w:sz w:val="24"/>
          <w:szCs w:val="24"/>
          <w:lang w:val="en-US"/>
        </w:rPr>
      </w:pPr>
      <w:r>
        <w:rPr>
          <w:rFonts w:hint="eastAsia" w:ascii="仿宋_GB2312" w:hAnsi="仿宋_GB2312" w:eastAsia="仿宋_GB2312" w:cs="仿宋_GB2312"/>
          <w:b w:val="0"/>
          <w:bCs w:val="0"/>
          <w:color w:val="auto"/>
          <w:sz w:val="21"/>
          <w:szCs w:val="21"/>
          <w:u w:val="none"/>
          <w:lang w:val="en-US" w:eastAsia="zh-CN"/>
        </w:rPr>
        <w:t>3.发展性指标中A档占比为100%，B档占比为80%，C档占比为50%。</w:t>
      </w:r>
    </w:p>
    <w:sectPr>
      <w:footerReference r:id="rId3" w:type="default"/>
      <w:pgSz w:w="16838" w:h="11906" w:orient="landscape"/>
      <w:pgMar w:top="1689" w:right="1440" w:bottom="168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公文小标宋">
    <w:panose1 w:val="02000500000000000000"/>
    <w:charset w:val="86"/>
    <w:family w:val="auto"/>
    <w:pitch w:val="default"/>
    <w:sig w:usb0="A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仿宋_GBK">
    <w:altName w:val="Arial Unicode MS"/>
    <w:panose1 w:val="02000000000000000000"/>
    <w:charset w:val="86"/>
    <w:family w:val="auto"/>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7898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B5BF57">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B5BF57">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N2I0YzliYjcxMzBjNzNjZjJjYmU5YTdjYWE5ZjYifQ=="/>
  </w:docVars>
  <w:rsids>
    <w:rsidRoot w:val="37F7C88B"/>
    <w:rsid w:val="0000293B"/>
    <w:rsid w:val="0007512D"/>
    <w:rsid w:val="000E5CDA"/>
    <w:rsid w:val="00113C31"/>
    <w:rsid w:val="001F73E8"/>
    <w:rsid w:val="0020301C"/>
    <w:rsid w:val="003A25FB"/>
    <w:rsid w:val="0042432F"/>
    <w:rsid w:val="00495002"/>
    <w:rsid w:val="004A0EF7"/>
    <w:rsid w:val="005458A5"/>
    <w:rsid w:val="00695417"/>
    <w:rsid w:val="008506BD"/>
    <w:rsid w:val="00980510"/>
    <w:rsid w:val="00986139"/>
    <w:rsid w:val="00F44447"/>
    <w:rsid w:val="00F44F67"/>
    <w:rsid w:val="00F91FBF"/>
    <w:rsid w:val="054444CD"/>
    <w:rsid w:val="062E4A77"/>
    <w:rsid w:val="066A3744"/>
    <w:rsid w:val="07BCC6F9"/>
    <w:rsid w:val="08CF1077"/>
    <w:rsid w:val="0AF53FEF"/>
    <w:rsid w:val="0E2C154A"/>
    <w:rsid w:val="0FE12B5A"/>
    <w:rsid w:val="10731E57"/>
    <w:rsid w:val="11DF1C1B"/>
    <w:rsid w:val="13D7B70E"/>
    <w:rsid w:val="14741972"/>
    <w:rsid w:val="168708C4"/>
    <w:rsid w:val="169F5AFE"/>
    <w:rsid w:val="16FA21EC"/>
    <w:rsid w:val="17DB8C1E"/>
    <w:rsid w:val="192F03F6"/>
    <w:rsid w:val="19AA6ACF"/>
    <w:rsid w:val="1ABD1D09"/>
    <w:rsid w:val="1B6EB569"/>
    <w:rsid w:val="1BFE27D9"/>
    <w:rsid w:val="1C532273"/>
    <w:rsid w:val="1D6F597C"/>
    <w:rsid w:val="1DD221B9"/>
    <w:rsid w:val="1DF762FE"/>
    <w:rsid w:val="1F17837B"/>
    <w:rsid w:val="1FBB1CA7"/>
    <w:rsid w:val="1FF76547"/>
    <w:rsid w:val="20604C45"/>
    <w:rsid w:val="2262427D"/>
    <w:rsid w:val="22EB3D55"/>
    <w:rsid w:val="23AC5650"/>
    <w:rsid w:val="23BE1E9A"/>
    <w:rsid w:val="2644071B"/>
    <w:rsid w:val="293C4D8A"/>
    <w:rsid w:val="2B51698E"/>
    <w:rsid w:val="2DB33468"/>
    <w:rsid w:val="2DFBAEAA"/>
    <w:rsid w:val="2E670405"/>
    <w:rsid w:val="2E7F3F56"/>
    <w:rsid w:val="300745D4"/>
    <w:rsid w:val="35FE1505"/>
    <w:rsid w:val="3644151D"/>
    <w:rsid w:val="369B8345"/>
    <w:rsid w:val="376BED7E"/>
    <w:rsid w:val="377FD73D"/>
    <w:rsid w:val="37F7C88B"/>
    <w:rsid w:val="382C6024"/>
    <w:rsid w:val="38AC16A8"/>
    <w:rsid w:val="38BF8F8C"/>
    <w:rsid w:val="3ABF808A"/>
    <w:rsid w:val="3B052EEA"/>
    <w:rsid w:val="3BB57EAF"/>
    <w:rsid w:val="3BD133DF"/>
    <w:rsid w:val="3BFB006A"/>
    <w:rsid w:val="3D9D0D7B"/>
    <w:rsid w:val="3DA7BC38"/>
    <w:rsid w:val="3DBF9BA0"/>
    <w:rsid w:val="3E046734"/>
    <w:rsid w:val="3E5EB015"/>
    <w:rsid w:val="3EA75D5F"/>
    <w:rsid w:val="3EAE20DB"/>
    <w:rsid w:val="3EBC5185"/>
    <w:rsid w:val="3F231749"/>
    <w:rsid w:val="3FFDD7C6"/>
    <w:rsid w:val="3FFF5690"/>
    <w:rsid w:val="423B3A9C"/>
    <w:rsid w:val="443C7D1E"/>
    <w:rsid w:val="446330D2"/>
    <w:rsid w:val="44D34460"/>
    <w:rsid w:val="45904086"/>
    <w:rsid w:val="46097C6E"/>
    <w:rsid w:val="47EFADA0"/>
    <w:rsid w:val="486D1BFF"/>
    <w:rsid w:val="48D563E1"/>
    <w:rsid w:val="4AE84D42"/>
    <w:rsid w:val="4BEA106C"/>
    <w:rsid w:val="4CBF99C8"/>
    <w:rsid w:val="4D627903"/>
    <w:rsid w:val="4D850040"/>
    <w:rsid w:val="4FBF1710"/>
    <w:rsid w:val="4FF96CE9"/>
    <w:rsid w:val="509727E6"/>
    <w:rsid w:val="53991DC7"/>
    <w:rsid w:val="5498081B"/>
    <w:rsid w:val="559612BE"/>
    <w:rsid w:val="57EB0957"/>
    <w:rsid w:val="58211354"/>
    <w:rsid w:val="597E01CC"/>
    <w:rsid w:val="5987789B"/>
    <w:rsid w:val="59AA5338"/>
    <w:rsid w:val="59FA1DB8"/>
    <w:rsid w:val="5AFD715E"/>
    <w:rsid w:val="5B0FD590"/>
    <w:rsid w:val="5BEF9281"/>
    <w:rsid w:val="5BFF96E0"/>
    <w:rsid w:val="5C5D031D"/>
    <w:rsid w:val="5D6D6DA8"/>
    <w:rsid w:val="5D87A8F8"/>
    <w:rsid w:val="5DDE4AFD"/>
    <w:rsid w:val="5E3036F2"/>
    <w:rsid w:val="5E5DCADB"/>
    <w:rsid w:val="5EDF688E"/>
    <w:rsid w:val="5F77723E"/>
    <w:rsid w:val="5FBF231D"/>
    <w:rsid w:val="5FCEE637"/>
    <w:rsid w:val="62FFD57D"/>
    <w:rsid w:val="63C4284A"/>
    <w:rsid w:val="65670581"/>
    <w:rsid w:val="65FD054B"/>
    <w:rsid w:val="663F5F4A"/>
    <w:rsid w:val="66FE6326"/>
    <w:rsid w:val="67D143D7"/>
    <w:rsid w:val="6A66A41C"/>
    <w:rsid w:val="6A8E009F"/>
    <w:rsid w:val="6B8E420F"/>
    <w:rsid w:val="6BEF14BC"/>
    <w:rsid w:val="6CC30793"/>
    <w:rsid w:val="6D634B4E"/>
    <w:rsid w:val="6DCFEE36"/>
    <w:rsid w:val="6DFF9611"/>
    <w:rsid w:val="6EF59D13"/>
    <w:rsid w:val="6EFBF2D4"/>
    <w:rsid w:val="6F562B0B"/>
    <w:rsid w:val="6F7B613C"/>
    <w:rsid w:val="6FBF85A2"/>
    <w:rsid w:val="6FC729AC"/>
    <w:rsid w:val="6FDACD12"/>
    <w:rsid w:val="71BC663C"/>
    <w:rsid w:val="72FF350D"/>
    <w:rsid w:val="733339A1"/>
    <w:rsid w:val="73ED6704"/>
    <w:rsid w:val="73FD8D44"/>
    <w:rsid w:val="73FF54A3"/>
    <w:rsid w:val="74BA07B7"/>
    <w:rsid w:val="74C401A7"/>
    <w:rsid w:val="74FF75B9"/>
    <w:rsid w:val="75B63FD7"/>
    <w:rsid w:val="75FF815A"/>
    <w:rsid w:val="766308F1"/>
    <w:rsid w:val="766D8423"/>
    <w:rsid w:val="76BB0AF6"/>
    <w:rsid w:val="76FECB1D"/>
    <w:rsid w:val="77333267"/>
    <w:rsid w:val="778FFB5B"/>
    <w:rsid w:val="77CF3B68"/>
    <w:rsid w:val="77E9CDB4"/>
    <w:rsid w:val="77EB2CB2"/>
    <w:rsid w:val="77FF29EF"/>
    <w:rsid w:val="79295CE6"/>
    <w:rsid w:val="79831FE8"/>
    <w:rsid w:val="7AA1B136"/>
    <w:rsid w:val="7AB5235C"/>
    <w:rsid w:val="7AC43BFB"/>
    <w:rsid w:val="7AD76815"/>
    <w:rsid w:val="7AEB1519"/>
    <w:rsid w:val="7BAE4CA3"/>
    <w:rsid w:val="7BEBAC31"/>
    <w:rsid w:val="7BF4B929"/>
    <w:rsid w:val="7BFD4CA5"/>
    <w:rsid w:val="7C770D1F"/>
    <w:rsid w:val="7DBF402F"/>
    <w:rsid w:val="7DCA721E"/>
    <w:rsid w:val="7DFEAF12"/>
    <w:rsid w:val="7DFF3604"/>
    <w:rsid w:val="7DFFE055"/>
    <w:rsid w:val="7E4D62D3"/>
    <w:rsid w:val="7EB58EA1"/>
    <w:rsid w:val="7EBFAE06"/>
    <w:rsid w:val="7F2F6E39"/>
    <w:rsid w:val="7F37E694"/>
    <w:rsid w:val="7FA647F0"/>
    <w:rsid w:val="7FC6ED26"/>
    <w:rsid w:val="7FE5A9C7"/>
    <w:rsid w:val="7FE7BD07"/>
    <w:rsid w:val="7FF384FA"/>
    <w:rsid w:val="7FF8C153"/>
    <w:rsid w:val="7FFE8A4E"/>
    <w:rsid w:val="7FFF62C7"/>
    <w:rsid w:val="82DF0599"/>
    <w:rsid w:val="8B6778E3"/>
    <w:rsid w:val="8DFFE644"/>
    <w:rsid w:val="97FE9165"/>
    <w:rsid w:val="9EEFD1FA"/>
    <w:rsid w:val="A49FEBF3"/>
    <w:rsid w:val="A7DED5D5"/>
    <w:rsid w:val="A9B82ABC"/>
    <w:rsid w:val="AEBD1672"/>
    <w:rsid w:val="AFB792BC"/>
    <w:rsid w:val="B3DFA1AA"/>
    <w:rsid w:val="B4D7E7E2"/>
    <w:rsid w:val="BBBBE44A"/>
    <w:rsid w:val="BDF2E2B4"/>
    <w:rsid w:val="BF7D6715"/>
    <w:rsid w:val="BFDBAA7B"/>
    <w:rsid w:val="BFE7055F"/>
    <w:rsid w:val="BFED64DC"/>
    <w:rsid w:val="BFF33B01"/>
    <w:rsid w:val="BFFA6BB6"/>
    <w:rsid w:val="C5DD6A21"/>
    <w:rsid w:val="C6FF5B11"/>
    <w:rsid w:val="C75794BC"/>
    <w:rsid w:val="C9DD47F3"/>
    <w:rsid w:val="CBDB5801"/>
    <w:rsid w:val="CBFF7B67"/>
    <w:rsid w:val="CDDF5BA0"/>
    <w:rsid w:val="CDFBBDA9"/>
    <w:rsid w:val="CE99F601"/>
    <w:rsid w:val="CF45573D"/>
    <w:rsid w:val="CF550661"/>
    <w:rsid w:val="CFEF2FFE"/>
    <w:rsid w:val="CFFFE9D4"/>
    <w:rsid w:val="D1E73D7C"/>
    <w:rsid w:val="D4BD8D0F"/>
    <w:rsid w:val="D54647EB"/>
    <w:rsid w:val="D73D6437"/>
    <w:rsid w:val="D777B14B"/>
    <w:rsid w:val="D77B289D"/>
    <w:rsid w:val="DAFE99DE"/>
    <w:rsid w:val="DB7BFA82"/>
    <w:rsid w:val="DBE48852"/>
    <w:rsid w:val="DC777965"/>
    <w:rsid w:val="DCBE26DE"/>
    <w:rsid w:val="DD793B88"/>
    <w:rsid w:val="DDDB449C"/>
    <w:rsid w:val="DEECF05E"/>
    <w:rsid w:val="DEFBFAA6"/>
    <w:rsid w:val="DEFFFDB6"/>
    <w:rsid w:val="DFB707D7"/>
    <w:rsid w:val="DFF3B675"/>
    <w:rsid w:val="DFF49E39"/>
    <w:rsid w:val="DFFB4FF1"/>
    <w:rsid w:val="DFFBCFC6"/>
    <w:rsid w:val="E3EE4618"/>
    <w:rsid w:val="E4E0F62B"/>
    <w:rsid w:val="E7FDCDB4"/>
    <w:rsid w:val="E7FF6603"/>
    <w:rsid w:val="E97B171A"/>
    <w:rsid w:val="EBFDF0FE"/>
    <w:rsid w:val="ECFF2B49"/>
    <w:rsid w:val="ED6730DF"/>
    <w:rsid w:val="ED79AB28"/>
    <w:rsid w:val="EDEF6C14"/>
    <w:rsid w:val="EE962799"/>
    <w:rsid w:val="EFA396B2"/>
    <w:rsid w:val="EFBD013D"/>
    <w:rsid w:val="EFBF5D08"/>
    <w:rsid w:val="EFCB5B29"/>
    <w:rsid w:val="EFF7EBD7"/>
    <w:rsid w:val="F10F2891"/>
    <w:rsid w:val="F1F37380"/>
    <w:rsid w:val="F3FC6C62"/>
    <w:rsid w:val="F47DF74B"/>
    <w:rsid w:val="F6FEC019"/>
    <w:rsid w:val="F78E2DFB"/>
    <w:rsid w:val="F7AB539D"/>
    <w:rsid w:val="F7FDA924"/>
    <w:rsid w:val="F89BE62C"/>
    <w:rsid w:val="F8FB0EC0"/>
    <w:rsid w:val="F9FB2AAC"/>
    <w:rsid w:val="FAFB4C2A"/>
    <w:rsid w:val="FAFFD29F"/>
    <w:rsid w:val="FB2D2F03"/>
    <w:rsid w:val="FB3F7A6E"/>
    <w:rsid w:val="FB3FCA49"/>
    <w:rsid w:val="FCEBACF0"/>
    <w:rsid w:val="FD973729"/>
    <w:rsid w:val="FDBF62C9"/>
    <w:rsid w:val="FDCBCBD4"/>
    <w:rsid w:val="FDCE243C"/>
    <w:rsid w:val="FDFF08EC"/>
    <w:rsid w:val="FE74170E"/>
    <w:rsid w:val="FE7F6AFC"/>
    <w:rsid w:val="FEBF7704"/>
    <w:rsid w:val="FEF761E8"/>
    <w:rsid w:val="FEFA16D1"/>
    <w:rsid w:val="FEFFD6F5"/>
    <w:rsid w:val="FF1DCF2A"/>
    <w:rsid w:val="FF2A1862"/>
    <w:rsid w:val="FF571CC8"/>
    <w:rsid w:val="FF7B5228"/>
    <w:rsid w:val="FF7EAE34"/>
    <w:rsid w:val="FFA378BD"/>
    <w:rsid w:val="FFAF91DA"/>
    <w:rsid w:val="FFCB57BB"/>
    <w:rsid w:val="FFDB0D4A"/>
    <w:rsid w:val="FFF44D92"/>
    <w:rsid w:val="FFF6A42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方正公文小标宋"/>
      <w:b/>
      <w:bCs/>
      <w:sz w:val="40"/>
      <w:szCs w:val="40"/>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2"/>
      <w:szCs w:val="32"/>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0"/>
    <w:rPr>
      <w:rFonts w:ascii="Calibri" w:hAnsi="Calibri" w:eastAsia="宋体" w:cs="方正公文小标宋"/>
      <w:b/>
      <w:bCs/>
      <w:sz w:val="18"/>
      <w:szCs w:val="18"/>
    </w:rPr>
  </w:style>
  <w:style w:type="character" w:customStyle="1" w:styleId="10">
    <w:name w:val="页脚 字符"/>
    <w:basedOn w:val="8"/>
    <w:link w:val="3"/>
    <w:qFormat/>
    <w:uiPriority w:val="0"/>
    <w:rPr>
      <w:rFonts w:ascii="Calibri" w:hAnsi="Calibri" w:eastAsia="宋体" w:cs="方正公文小标宋"/>
      <w:b/>
      <w:bCs/>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3692</Words>
  <Characters>3880</Characters>
  <Lines>22</Lines>
  <Paragraphs>6</Paragraphs>
  <TotalTime>6</TotalTime>
  <ScaleCrop>false</ScaleCrop>
  <LinksUpToDate>false</LinksUpToDate>
  <CharactersWithSpaces>3885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2024-05-08T08:19:00Z</dcterms:created>
  <dc:creator>微笑的丁壹</dc:creator>
  <cp:lastModifiedBy>范琪羚</cp:lastModifiedBy>
  <cp:lastPrinted>2025-01-03T03:24:00Z</cp:lastPrinted>
  <dcterms:modified xsi:type="dcterms:W3CDTF">2025-01-08T08:30:13Z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2426A24ECC7E29ED8F496B67751D2AAD_43</vt:lpwstr>
  </property>
  <property fmtid="{D5CDD505-2E9C-101B-9397-08002B2CF9AE}" pid="4" name="KSOTemplateDocerSaveRecord">
    <vt:lpwstr>eyJoZGlkIjoiYzZjZGZhNmY5NDJhYzRkOGViZTdmN2U3ZWZiNjA3MmMiLCJ1c2VySWQiOiI2MTY3NTI1NTYifQ==</vt:lpwstr>
  </property>
</Properties>
</file>