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rPr>
          <w:rFonts w:hint="eastAsia" w:ascii="仿宋" w:hAnsi="仿宋" w:eastAsia="仿宋" w:cs="仿宋"/>
          <w:sz w:val="32"/>
          <w:szCs w:val="32"/>
        </w:rPr>
      </w:pPr>
      <w:r>
        <w:rPr>
          <w:rFonts w:hint="eastAsia" w:ascii="仿宋" w:hAnsi="仿宋" w:eastAsia="仿宋" w:cs="仿宋"/>
          <w:sz w:val="32"/>
          <w:szCs w:val="32"/>
        </w:rPr>
        <w:t>附件5</w:t>
      </w:r>
    </w:p>
    <w:p>
      <w:pPr>
        <w:ind w:left="0" w:leftChars="0" w:firstLine="0" w:firstLineChars="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党支部党建工作考核评分表</w:t>
      </w:r>
    </w:p>
    <w:p>
      <w:pPr>
        <w:ind w:firstLine="2415" w:firstLineChars="1150"/>
        <w:rPr>
          <w:rFonts w:hint="eastAsia" w:ascii="仿宋" w:hAnsi="仿宋" w:eastAsia="仿宋" w:cs="仿宋"/>
          <w:sz w:val="21"/>
          <w:szCs w:val="21"/>
        </w:rPr>
      </w:pPr>
      <w:r>
        <w:rPr>
          <w:rFonts w:hint="eastAsia" w:ascii="仿宋" w:hAnsi="仿宋" w:eastAsia="仿宋" w:cs="仿宋"/>
          <w:sz w:val="21"/>
          <w:szCs w:val="21"/>
        </w:rPr>
        <w:t>（自评、实地考评互评用）</w:t>
      </w:r>
    </w:p>
    <w:p>
      <w:pPr>
        <w:rPr>
          <w:rFonts w:hint="eastAsia" w:ascii="仿宋" w:hAnsi="仿宋" w:eastAsia="仿宋" w:cs="仿宋"/>
          <w:sz w:val="21"/>
          <w:szCs w:val="21"/>
        </w:rPr>
      </w:pPr>
    </w:p>
    <w:p>
      <w:pPr>
        <w:rPr>
          <w:rFonts w:hint="eastAsia" w:ascii="仿宋" w:hAnsi="仿宋" w:eastAsia="仿宋" w:cs="仿宋"/>
          <w:b w:val="0"/>
          <w:bCs/>
          <w:sz w:val="21"/>
          <w:szCs w:val="21"/>
        </w:rPr>
      </w:pPr>
      <w:r>
        <w:rPr>
          <w:rFonts w:hint="eastAsia" w:ascii="仿宋" w:hAnsi="仿宋" w:eastAsia="仿宋" w:cs="仿宋"/>
          <w:b w:val="0"/>
          <w:bCs/>
          <w:sz w:val="21"/>
          <w:szCs w:val="21"/>
        </w:rPr>
        <w:t>考核对象：                 考核方式：[自评] [实地考评]    时间：     年   月   日</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6"/>
        <w:gridCol w:w="4689"/>
        <w:gridCol w:w="1123"/>
        <w:gridCol w:w="70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gridSpan w:val="2"/>
            <w:vAlign w:val="center"/>
          </w:tcPr>
          <w:p>
            <w:pPr>
              <w:jc w:val="center"/>
              <w:rPr>
                <w:rFonts w:hint="eastAsia" w:ascii="仿宋" w:hAnsi="仿宋" w:eastAsia="仿宋" w:cs="仿宋"/>
                <w:sz w:val="21"/>
                <w:szCs w:val="21"/>
              </w:rPr>
            </w:pPr>
            <w:r>
              <w:rPr>
                <w:rFonts w:hint="eastAsia" w:ascii="仿宋" w:hAnsi="仿宋" w:eastAsia="仿宋" w:cs="仿宋"/>
                <w:sz w:val="21"/>
                <w:szCs w:val="21"/>
              </w:rPr>
              <w:t>指标分值</w:t>
            </w:r>
          </w:p>
        </w:tc>
        <w:tc>
          <w:tcPr>
            <w:tcW w:w="5812" w:type="dxa"/>
            <w:gridSpan w:val="2"/>
            <w:vAlign w:val="center"/>
          </w:tcPr>
          <w:p>
            <w:pPr>
              <w:jc w:val="center"/>
              <w:rPr>
                <w:rFonts w:hint="eastAsia" w:ascii="仿宋" w:hAnsi="仿宋" w:eastAsia="仿宋" w:cs="仿宋"/>
                <w:sz w:val="21"/>
                <w:szCs w:val="21"/>
              </w:rPr>
            </w:pPr>
            <w:r>
              <w:rPr>
                <w:rFonts w:hint="eastAsia" w:ascii="仿宋" w:hAnsi="仿宋" w:eastAsia="仿宋" w:cs="仿宋"/>
                <w:sz w:val="21"/>
                <w:szCs w:val="21"/>
              </w:rPr>
              <w:t>参考标准</w:t>
            </w:r>
          </w:p>
        </w:tc>
        <w:tc>
          <w:tcPr>
            <w:tcW w:w="709"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评价意见</w:t>
            </w:r>
          </w:p>
        </w:tc>
        <w:tc>
          <w:tcPr>
            <w:tcW w:w="901"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100" w:type="dxa"/>
            <w:gridSpan w:val="2"/>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政治核心</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1.支委班子成员党性强、业务精、有威信、肯奉献，团结协作、公正廉洁进取</w:t>
            </w:r>
            <w:r>
              <w:rPr>
                <w:rFonts w:hint="eastAsia" w:ascii="仿宋" w:hAnsi="仿宋" w:eastAsia="仿宋" w:cs="仿宋"/>
                <w:sz w:val="21"/>
                <w:szCs w:val="21"/>
                <w:lang w:eastAsia="zh-CN"/>
              </w:rPr>
              <w:t>，</w:t>
            </w:r>
            <w:r>
              <w:rPr>
                <w:rFonts w:hint="eastAsia" w:ascii="仿宋" w:hAnsi="仿宋" w:eastAsia="仿宋" w:cs="仿宋"/>
                <w:sz w:val="21"/>
                <w:szCs w:val="21"/>
              </w:rPr>
              <w:t>凝聚力、号召力强</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ind w:firstLine="420" w:firstLineChars="200"/>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2.把坚定正确的政治方向放在党建的首位，宣传执行党的路线方针政策和上级党组织的决议，师生党员在思想上政治上行动上同以习近平同志为核心的党中央保持高度一致，爱校爱生（尊师），无诋毁党、政府和学校、学院的言行，无违规违纪违法行为</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ind w:firstLine="420" w:firstLineChars="200"/>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3.把师生理想信念教育作为党支部工作的首要任务，“两学一做”学习教育常态化制度化，党员集中学习培训时间不少于32学时</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ind w:firstLine="420" w:firstLineChars="200"/>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4.围绕服务学校改革发展稳定，全面贯彻落实校党委、总支决策部署和学校学院中心工作任务，建立健全重大事项党内通报讨论决策机制</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ind w:firstLine="420" w:firstLineChars="200"/>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5.党建工作与行政工作紧密融合，围绕中心抓党建、抓好党建促发展，各项工作成绩显著。</w:t>
            </w:r>
          </w:p>
        </w:tc>
        <w:tc>
          <w:tcPr>
            <w:tcW w:w="709" w:type="dxa"/>
          </w:tcPr>
          <w:p>
            <w:pPr>
              <w:rPr>
                <w:rFonts w:hint="eastAsia" w:ascii="仿宋" w:hAnsi="仿宋" w:eastAsia="仿宋" w:cs="仿宋"/>
                <w:sz w:val="21"/>
                <w:szCs w:val="21"/>
              </w:rPr>
            </w:pPr>
          </w:p>
        </w:tc>
        <w:tc>
          <w:tcPr>
            <w:tcW w:w="901" w:type="dxa"/>
          </w:tcPr>
          <w:p>
            <w:pPr>
              <w:ind w:firstLine="420" w:firstLineChars="200"/>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00" w:type="dxa"/>
            <w:gridSpan w:val="2"/>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组织生活</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1.党支部设置科学、组织机构完备、人员配备到位，支委按期换届</w:t>
            </w:r>
            <w:r>
              <w:rPr>
                <w:rFonts w:hint="eastAsia" w:ascii="仿宋" w:hAnsi="仿宋" w:eastAsia="仿宋" w:cs="仿宋"/>
                <w:sz w:val="21"/>
                <w:szCs w:val="21"/>
                <w:lang w:eastAsia="zh-CN"/>
              </w:rPr>
              <w:t>；</w:t>
            </w:r>
            <w:r>
              <w:rPr>
                <w:rFonts w:hint="eastAsia" w:ascii="仿宋" w:hAnsi="仿宋" w:eastAsia="仿宋" w:cs="仿宋"/>
                <w:sz w:val="21"/>
                <w:szCs w:val="21"/>
              </w:rPr>
              <w:t xml:space="preserve"> </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2.严格规范执行“三会一课”，以“两学一做”</w:t>
            </w:r>
            <w:r>
              <w:rPr>
                <w:rFonts w:hint="eastAsia" w:ascii="仿宋" w:hAnsi="仿宋" w:eastAsia="仿宋" w:cs="仿宋"/>
                <w:sz w:val="21"/>
                <w:szCs w:val="21"/>
                <w:lang w:eastAsia="zh-CN"/>
              </w:rPr>
              <w:t>学习教育</w:t>
            </w:r>
            <w:r>
              <w:rPr>
                <w:rFonts w:hint="eastAsia" w:ascii="仿宋" w:hAnsi="仿宋" w:eastAsia="仿宋" w:cs="仿宋"/>
                <w:sz w:val="21"/>
                <w:szCs w:val="21"/>
              </w:rPr>
              <w:t>为主要内容，党支部书记每年至少讲1次党课；全面推行支部主题党日，每月相对固定时间，每次确定主题，组织党员开展“三会一课”、交纳党费、参加联系服务群众、学习研讨等活动，时间一般不少于半天；做到年初有计划、执行有记录，年终有总结</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3.严格规范执行组织生活会制度，每年至少召开一次专题组织生活会</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4.严格规范执行谈心谈话制度，做到支部委员之间必谈、支部委员与每位党员必谈、支部委员与党外教师必谈</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5.严格规范执行民主评议党员制度，每年开展1次党员民主评议工作。</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100" w:type="dxa"/>
            <w:gridSpan w:val="2"/>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党员工作</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1.做好党员发展工作，特别是优秀青年教师的发展工作，主动帮助引导青年骨干教师向党组织靠拢；创新优化教育培养方式，教师党支部要探索建立把骨干教师培养成党员，把党员教师培养成教学、科研、管理骨干的“双培养”机制；在严格标准、程序的同时，优化、改进考察办法，始终把政治标准放在首位，把一贯表现和对重大问题的态度作为重要考察内容</w:t>
            </w:r>
            <w:r>
              <w:rPr>
                <w:rFonts w:hint="eastAsia" w:ascii="仿宋" w:hAnsi="仿宋" w:eastAsia="仿宋" w:cs="仿宋"/>
                <w:sz w:val="21"/>
                <w:szCs w:val="21"/>
                <w:lang w:eastAsia="zh-CN"/>
              </w:rPr>
              <w:t>；</w:t>
            </w:r>
            <w:r>
              <w:rPr>
                <w:rFonts w:hint="eastAsia" w:ascii="仿宋" w:hAnsi="仿宋" w:eastAsia="仿宋" w:cs="仿宋"/>
                <w:sz w:val="21"/>
                <w:szCs w:val="21"/>
              </w:rPr>
              <w:t xml:space="preserve"> </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2.做好党员党籍和组织关系管理、党费收缴、党员激励关爱帮扶和党纪处分、组织处置等基础性工作</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0"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3.做好对党员教育、管理、监督和服务，引导党员追求道德高线、严守纪律底线，促进形成党员教师模范遵守师德规范、践行学术道德，党员学生带头尊师爱校、进取向上、践行社会主义核心价值观的良好风尚；</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4.组织党员参与志愿服务、社会公益、结对帮扶和“三联系”等活动。</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1100" w:type="dxa"/>
            <w:gridSpan w:val="2"/>
            <w:vMerge w:val="restart"/>
            <w:vAlign w:val="center"/>
          </w:tcPr>
          <w:p>
            <w:pPr>
              <w:jc w:val="center"/>
              <w:rPr>
                <w:rFonts w:hint="eastAsia" w:ascii="仿宋" w:hAnsi="仿宋" w:eastAsia="仿宋" w:cs="仿宋"/>
                <w:sz w:val="21"/>
                <w:szCs w:val="21"/>
              </w:rPr>
            </w:pPr>
            <w:r>
              <w:rPr>
                <w:rFonts w:hint="eastAsia" w:ascii="仿宋" w:hAnsi="仿宋" w:eastAsia="仿宋" w:cs="仿宋"/>
                <w:sz w:val="21"/>
                <w:szCs w:val="21"/>
              </w:rPr>
              <w:t>思政工作</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1.动态掌握师生思想动态和信教情况，定期研判师生思想动态，在意识形态领域重大问题上态度鲜明、处置有力</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2.教育引导师生在课堂教学、论坛讲座、学习实践等活动中坚持正确的政治方向、政治立场、政治原则，建立健全在教育教学、科研管理等重大事项中的政治把关机制；大力推进师德师风建设</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3.把解决实际问题、增强教师归属感获得感作为党支部工作的重要落脚点，探索建立贴近教师思想、工作、生活实际的务实管用、灵活多样的服务载体，把党支部建成党员之家、师生之家，真正成为团结凝聚师生群众的坚强阵地和政治核心</w:t>
            </w:r>
            <w:r>
              <w:rPr>
                <w:rFonts w:hint="eastAsia" w:ascii="仿宋" w:hAnsi="仿宋" w:eastAsia="仿宋" w:cs="仿宋"/>
                <w:sz w:val="21"/>
                <w:szCs w:val="21"/>
                <w:lang w:eastAsia="zh-CN"/>
              </w:rPr>
              <w:t>；</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 w:hRule="atLeast"/>
        </w:trPr>
        <w:tc>
          <w:tcPr>
            <w:tcW w:w="1100" w:type="dxa"/>
            <w:gridSpan w:val="2"/>
            <w:vMerge w:val="continue"/>
            <w:vAlign w:val="center"/>
          </w:tcPr>
          <w:p>
            <w:pPr>
              <w:jc w:val="center"/>
              <w:rPr>
                <w:rFonts w:hint="eastAsia" w:ascii="仿宋" w:hAnsi="仿宋" w:eastAsia="仿宋" w:cs="仿宋"/>
                <w:sz w:val="21"/>
                <w:szCs w:val="21"/>
              </w:rPr>
            </w:pP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4.发挥政治核心作用，统一思想、凝聚人心、化解矛盾、增进感情，形成教师爱校爱生、学生爱校尊师的和谐稳定团结进取的良好氛围。</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0" w:type="dxa"/>
            <w:gridSpan w:val="2"/>
            <w:vAlign w:val="center"/>
          </w:tcPr>
          <w:p>
            <w:pPr>
              <w:jc w:val="center"/>
              <w:rPr>
                <w:rFonts w:hint="eastAsia" w:ascii="仿宋" w:hAnsi="仿宋" w:eastAsia="仿宋" w:cs="仿宋"/>
                <w:sz w:val="21"/>
                <w:szCs w:val="21"/>
              </w:rPr>
            </w:pPr>
            <w:r>
              <w:rPr>
                <w:rFonts w:hint="eastAsia" w:ascii="仿宋" w:hAnsi="仿宋" w:eastAsia="仿宋" w:cs="仿宋"/>
                <w:sz w:val="21"/>
                <w:szCs w:val="21"/>
              </w:rPr>
              <w:t>特色品牌</w:t>
            </w:r>
          </w:p>
          <w:p>
            <w:pPr>
              <w:jc w:val="center"/>
              <w:rPr>
                <w:rFonts w:hint="eastAsia" w:ascii="仿宋" w:hAnsi="仿宋" w:eastAsia="仿宋" w:cs="仿宋"/>
                <w:sz w:val="21"/>
                <w:szCs w:val="21"/>
              </w:rPr>
            </w:pPr>
            <w:r>
              <w:rPr>
                <w:rFonts w:hint="eastAsia" w:ascii="仿宋" w:hAnsi="仿宋" w:eastAsia="仿宋" w:cs="仿宋"/>
                <w:sz w:val="21"/>
                <w:szCs w:val="21"/>
              </w:rPr>
              <w:t>（20分）</w:t>
            </w:r>
          </w:p>
        </w:tc>
        <w:tc>
          <w:tcPr>
            <w:tcW w:w="5812" w:type="dxa"/>
            <w:gridSpan w:val="2"/>
          </w:tcPr>
          <w:p>
            <w:pPr>
              <w:rPr>
                <w:rFonts w:hint="eastAsia" w:ascii="仿宋" w:hAnsi="仿宋" w:eastAsia="仿宋" w:cs="仿宋"/>
                <w:sz w:val="21"/>
                <w:szCs w:val="21"/>
              </w:rPr>
            </w:pPr>
            <w:r>
              <w:rPr>
                <w:rFonts w:hint="eastAsia" w:ascii="仿宋" w:hAnsi="仿宋" w:eastAsia="仿宋" w:cs="仿宋"/>
                <w:sz w:val="21"/>
                <w:szCs w:val="21"/>
              </w:rPr>
              <w:t>积极申报“双百示范”工程，在“党建+”、微党建等党建工作某</w:t>
            </w:r>
            <w:r>
              <w:rPr>
                <w:rFonts w:hint="eastAsia" w:ascii="仿宋" w:hAnsi="仿宋" w:eastAsia="仿宋" w:cs="仿宋"/>
                <w:sz w:val="21"/>
                <w:szCs w:val="21"/>
                <w:lang w:eastAsia="zh-CN"/>
              </w:rPr>
              <w:t>一</w:t>
            </w:r>
            <w:r>
              <w:rPr>
                <w:rFonts w:hint="eastAsia" w:ascii="仿宋" w:hAnsi="仿宋" w:eastAsia="仿宋" w:cs="仿宋"/>
                <w:sz w:val="21"/>
                <w:szCs w:val="21"/>
              </w:rPr>
              <w:t>方面成绩突出、特色鲜明、形成品牌效应。</w:t>
            </w:r>
          </w:p>
        </w:tc>
        <w:tc>
          <w:tcPr>
            <w:tcW w:w="709" w:type="dxa"/>
          </w:tcPr>
          <w:p>
            <w:pPr>
              <w:rPr>
                <w:rFonts w:hint="eastAsia" w:ascii="仿宋" w:hAnsi="仿宋" w:eastAsia="仿宋" w:cs="仿宋"/>
                <w:sz w:val="21"/>
                <w:szCs w:val="21"/>
              </w:rPr>
            </w:pPr>
          </w:p>
        </w:tc>
        <w:tc>
          <w:tcPr>
            <w:tcW w:w="901" w:type="dxa"/>
          </w:tcPr>
          <w:p>
            <w:pPr>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 w:type="dxa"/>
            <w:vAlign w:val="center"/>
          </w:tcPr>
          <w:p>
            <w:pPr>
              <w:jc w:val="center"/>
              <w:rPr>
                <w:rFonts w:hint="eastAsia" w:ascii="仿宋" w:hAnsi="仿宋" w:eastAsia="仿宋" w:cs="仿宋"/>
                <w:sz w:val="21"/>
                <w:szCs w:val="21"/>
              </w:rPr>
            </w:pPr>
            <w:r>
              <w:rPr>
                <w:rFonts w:hint="eastAsia" w:ascii="仿宋" w:hAnsi="仿宋" w:eastAsia="仿宋" w:cs="仿宋"/>
                <w:sz w:val="21"/>
                <w:szCs w:val="21"/>
              </w:rPr>
              <w:t>得分</w:t>
            </w:r>
          </w:p>
        </w:tc>
        <w:tc>
          <w:tcPr>
            <w:tcW w:w="4695" w:type="dxa"/>
            <w:gridSpan w:val="2"/>
            <w:vAlign w:val="center"/>
          </w:tcPr>
          <w:p>
            <w:pPr>
              <w:jc w:val="center"/>
              <w:rPr>
                <w:rFonts w:hint="eastAsia" w:ascii="仿宋" w:hAnsi="仿宋" w:eastAsia="仿宋" w:cs="仿宋"/>
                <w:sz w:val="21"/>
                <w:szCs w:val="21"/>
              </w:rPr>
            </w:pPr>
          </w:p>
        </w:tc>
        <w:tc>
          <w:tcPr>
            <w:tcW w:w="1832" w:type="dxa"/>
            <w:gridSpan w:val="2"/>
            <w:vAlign w:val="center"/>
          </w:tcPr>
          <w:p>
            <w:pPr>
              <w:jc w:val="center"/>
              <w:rPr>
                <w:rFonts w:hint="eastAsia" w:ascii="仿宋" w:hAnsi="仿宋" w:eastAsia="仿宋" w:cs="仿宋"/>
                <w:sz w:val="21"/>
                <w:szCs w:val="21"/>
              </w:rPr>
            </w:pPr>
            <w:r>
              <w:rPr>
                <w:rFonts w:hint="eastAsia" w:ascii="仿宋" w:hAnsi="仿宋" w:eastAsia="仿宋" w:cs="仿宋"/>
                <w:sz w:val="21"/>
                <w:szCs w:val="21"/>
              </w:rPr>
              <w:t>总扣分</w:t>
            </w:r>
          </w:p>
        </w:tc>
        <w:tc>
          <w:tcPr>
            <w:tcW w:w="901" w:type="dxa"/>
          </w:tcPr>
          <w:p>
            <w:pPr>
              <w:rPr>
                <w:rFonts w:hint="eastAsia" w:ascii="仿宋" w:hAnsi="仿宋" w:eastAsia="仿宋" w:cs="仿宋"/>
                <w:sz w:val="21"/>
                <w:szCs w:val="21"/>
              </w:rPr>
            </w:pPr>
          </w:p>
        </w:tc>
      </w:tr>
    </w:tbl>
    <w:p>
      <w:pPr>
        <w:rPr>
          <w:rFonts w:hint="eastAsia" w:ascii="仿宋" w:hAnsi="仿宋" w:eastAsia="仿宋" w:cs="仿宋"/>
          <w:b/>
          <w:sz w:val="21"/>
          <w:szCs w:val="21"/>
        </w:rPr>
      </w:pPr>
      <w:r>
        <w:rPr>
          <w:rFonts w:hint="eastAsia" w:ascii="仿宋" w:hAnsi="仿宋" w:eastAsia="仿宋" w:cs="仿宋"/>
          <w:b/>
          <w:sz w:val="21"/>
          <w:szCs w:val="21"/>
        </w:rPr>
        <w:t>总体评价标准：</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1.执行好，有计划（方案）、有总结，执行规范到位、落到实处；</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2.制度建设好，制度齐全完善、修订及时、有实效，各项工作机制完备；</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3.记录好，工作过程的记录和台帐资料的整理职责到人，各项工作都有台帐，台帐资料详尽整洁，记录及时，能真实清楚地反映实际工作。</w:t>
      </w:r>
    </w:p>
    <w:p>
      <w:pPr>
        <w:rPr>
          <w:rFonts w:hint="eastAsia" w:ascii="仿宋" w:hAnsi="仿宋" w:eastAsia="仿宋" w:cs="仿宋"/>
          <w:b/>
          <w:sz w:val="21"/>
          <w:szCs w:val="21"/>
        </w:rPr>
      </w:pPr>
      <w:r>
        <w:rPr>
          <w:rFonts w:hint="eastAsia" w:ascii="仿宋" w:hAnsi="仿宋" w:eastAsia="仿宋" w:cs="仿宋"/>
          <w:b/>
          <w:sz w:val="21"/>
          <w:szCs w:val="21"/>
        </w:rPr>
        <w:t>评价办法：</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1.每个评分要点分“好”、“一般”、“差”三个程度。“好”不扣分、“一般”扣1分、“差”扣2分。</w:t>
      </w:r>
    </w:p>
    <w:p>
      <w:pPr>
        <w:ind w:firstLine="420"/>
        <w:rPr>
          <w:rFonts w:hint="eastAsia" w:ascii="仿宋" w:hAnsi="仿宋" w:eastAsia="仿宋" w:cs="仿宋"/>
          <w:sz w:val="21"/>
          <w:szCs w:val="21"/>
        </w:rPr>
      </w:pPr>
      <w:r>
        <w:rPr>
          <w:rFonts w:hint="eastAsia" w:ascii="仿宋" w:hAnsi="仿宋" w:eastAsia="仿宋" w:cs="仿宋"/>
          <w:sz w:val="21"/>
          <w:szCs w:val="21"/>
        </w:rPr>
        <w:t>2.评价的主要依据为评价标准1——“执行好”。具体评价办法如下：</w:t>
      </w:r>
    </w:p>
    <w:p>
      <w:pPr>
        <w:ind w:firstLine="420"/>
        <w:rPr>
          <w:rFonts w:hint="eastAsia" w:ascii="仿宋" w:hAnsi="仿宋" w:eastAsia="仿宋" w:cs="仿宋"/>
          <w:sz w:val="21"/>
          <w:szCs w:val="21"/>
        </w:rPr>
      </w:pPr>
      <w:r>
        <w:rPr>
          <w:rFonts w:hint="eastAsia" w:ascii="仿宋" w:hAnsi="仿宋" w:eastAsia="仿宋" w:cs="仿宋"/>
          <w:sz w:val="21"/>
          <w:szCs w:val="21"/>
        </w:rPr>
        <w:t>“好”：符合标准1，且没有不符合标准2或标准3的情形；</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“差”：有不符合标准情形；</w:t>
      </w:r>
    </w:p>
    <w:p>
      <w:pPr>
        <w:ind w:firstLine="420" w:firstLineChars="200"/>
        <w:rPr>
          <w:rFonts w:hint="eastAsia" w:ascii="仿宋" w:hAnsi="仿宋" w:eastAsia="仿宋" w:cs="仿宋"/>
          <w:sz w:val="21"/>
          <w:szCs w:val="21"/>
        </w:rPr>
      </w:pPr>
      <w:r>
        <w:rPr>
          <w:rFonts w:hint="eastAsia" w:ascii="仿宋" w:hAnsi="仿宋" w:eastAsia="仿宋" w:cs="仿宋"/>
          <w:sz w:val="21"/>
          <w:szCs w:val="21"/>
        </w:rPr>
        <w:t>“一般”：除“好”、“差”外的其</w:t>
      </w:r>
      <w:r>
        <w:rPr>
          <w:rFonts w:hint="eastAsia" w:ascii="仿宋" w:hAnsi="仿宋" w:eastAsia="仿宋" w:cs="仿宋"/>
          <w:sz w:val="21"/>
          <w:szCs w:val="21"/>
          <w:lang w:eastAsia="zh-CN"/>
        </w:rPr>
        <w:t>他</w:t>
      </w:r>
      <w:r>
        <w:rPr>
          <w:rFonts w:hint="eastAsia" w:ascii="仿宋" w:hAnsi="仿宋" w:eastAsia="仿宋" w:cs="仿宋"/>
          <w:sz w:val="21"/>
          <w:szCs w:val="21"/>
        </w:rPr>
        <w:t>情形</w:t>
      </w:r>
      <w:r>
        <w:rPr>
          <w:rFonts w:hint="eastAsia" w:ascii="仿宋" w:hAnsi="仿宋" w:eastAsia="仿宋" w:cs="仿宋"/>
          <w:sz w:val="21"/>
          <w:szCs w:val="21"/>
          <w:lang w:eastAsia="zh-CN"/>
        </w:rPr>
        <w:t>。</w:t>
      </w:r>
      <w:bookmarkStart w:id="0" w:name="_GoBack"/>
      <w:bookmarkEnd w:id="0"/>
    </w:p>
    <w:p>
      <w:pPr>
        <w:rPr>
          <w:rFonts w:hint="eastAsia" w:ascii="仿宋" w:hAnsi="仿宋" w:eastAsia="仿宋" w:cs="仿宋"/>
          <w:sz w:val="21"/>
          <w:szCs w:val="21"/>
        </w:rPr>
      </w:pPr>
      <w:r>
        <w:rPr>
          <w:rFonts w:hint="eastAsia" w:ascii="仿宋" w:hAnsi="仿宋" w:eastAsia="仿宋" w:cs="仿宋"/>
          <w:sz w:val="21"/>
          <w:szCs w:val="21"/>
        </w:rPr>
        <w:t xml:space="preserve">    3.指标“特色品牌”若无特色品牌，则扣10分。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A42"/>
    <w:rsid w:val="00090380"/>
    <w:rsid w:val="000A1A32"/>
    <w:rsid w:val="000A1F5B"/>
    <w:rsid w:val="000B16A5"/>
    <w:rsid w:val="00101493"/>
    <w:rsid w:val="0010242E"/>
    <w:rsid w:val="00114804"/>
    <w:rsid w:val="00154752"/>
    <w:rsid w:val="00154990"/>
    <w:rsid w:val="001724B2"/>
    <w:rsid w:val="00174E03"/>
    <w:rsid w:val="001B6C1E"/>
    <w:rsid w:val="001C0389"/>
    <w:rsid w:val="001E4A01"/>
    <w:rsid w:val="002815D7"/>
    <w:rsid w:val="002A4DBB"/>
    <w:rsid w:val="002E4F50"/>
    <w:rsid w:val="002F3A7E"/>
    <w:rsid w:val="0030791F"/>
    <w:rsid w:val="00332A42"/>
    <w:rsid w:val="00335C4A"/>
    <w:rsid w:val="003653C5"/>
    <w:rsid w:val="003B58B4"/>
    <w:rsid w:val="003E0752"/>
    <w:rsid w:val="00432848"/>
    <w:rsid w:val="004834D4"/>
    <w:rsid w:val="004A2932"/>
    <w:rsid w:val="004F2A14"/>
    <w:rsid w:val="005205F3"/>
    <w:rsid w:val="00554A6C"/>
    <w:rsid w:val="0057766B"/>
    <w:rsid w:val="00584C54"/>
    <w:rsid w:val="00596B1A"/>
    <w:rsid w:val="005A11E9"/>
    <w:rsid w:val="005A6C58"/>
    <w:rsid w:val="005C0319"/>
    <w:rsid w:val="005C63EF"/>
    <w:rsid w:val="005D6BAD"/>
    <w:rsid w:val="005F7D41"/>
    <w:rsid w:val="00613173"/>
    <w:rsid w:val="00652056"/>
    <w:rsid w:val="00686C4A"/>
    <w:rsid w:val="006C0535"/>
    <w:rsid w:val="00717E13"/>
    <w:rsid w:val="00730E7C"/>
    <w:rsid w:val="007A1800"/>
    <w:rsid w:val="007F4228"/>
    <w:rsid w:val="008315CE"/>
    <w:rsid w:val="00842757"/>
    <w:rsid w:val="00886190"/>
    <w:rsid w:val="008902F4"/>
    <w:rsid w:val="008A2B0C"/>
    <w:rsid w:val="008F2EEA"/>
    <w:rsid w:val="009166C6"/>
    <w:rsid w:val="0092684E"/>
    <w:rsid w:val="0094110C"/>
    <w:rsid w:val="009659BB"/>
    <w:rsid w:val="00985456"/>
    <w:rsid w:val="009930F1"/>
    <w:rsid w:val="00994536"/>
    <w:rsid w:val="00997043"/>
    <w:rsid w:val="009B10CF"/>
    <w:rsid w:val="009E08AF"/>
    <w:rsid w:val="00A0096B"/>
    <w:rsid w:val="00A048B7"/>
    <w:rsid w:val="00A33E50"/>
    <w:rsid w:val="00A468B1"/>
    <w:rsid w:val="00A57C88"/>
    <w:rsid w:val="00A715A1"/>
    <w:rsid w:val="00AA4051"/>
    <w:rsid w:val="00AB22F6"/>
    <w:rsid w:val="00AC7547"/>
    <w:rsid w:val="00B01238"/>
    <w:rsid w:val="00B175D3"/>
    <w:rsid w:val="00B351D3"/>
    <w:rsid w:val="00B40A05"/>
    <w:rsid w:val="00B44354"/>
    <w:rsid w:val="00B57635"/>
    <w:rsid w:val="00B7099A"/>
    <w:rsid w:val="00C22417"/>
    <w:rsid w:val="00C75541"/>
    <w:rsid w:val="00CA4824"/>
    <w:rsid w:val="00CC626A"/>
    <w:rsid w:val="00CF7F85"/>
    <w:rsid w:val="00D21DAA"/>
    <w:rsid w:val="00D72E84"/>
    <w:rsid w:val="00D83BC7"/>
    <w:rsid w:val="00DB7B75"/>
    <w:rsid w:val="00DD490C"/>
    <w:rsid w:val="00DD7569"/>
    <w:rsid w:val="00DF4800"/>
    <w:rsid w:val="00E00D84"/>
    <w:rsid w:val="00F109AF"/>
    <w:rsid w:val="00F16B3E"/>
    <w:rsid w:val="00F7553B"/>
    <w:rsid w:val="00FA0564"/>
    <w:rsid w:val="00FE6F28"/>
    <w:rsid w:val="00FF62B1"/>
    <w:rsid w:val="3D920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280</Words>
  <Characters>1602</Characters>
  <Lines>13</Lines>
  <Paragraphs>3</Paragraphs>
  <TotalTime>0</TotalTime>
  <ScaleCrop>false</ScaleCrop>
  <LinksUpToDate>false</LinksUpToDate>
  <CharactersWithSpaces>1879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2018-02-25T04:40:00Z</dcterms:created>
  <dc:creator>朱海岳</dc:creator>
  <cp:lastModifiedBy>山居闲人</cp:lastModifiedBy>
  <dcterms:modified xsi:type="dcterms:W3CDTF">2018-03-12T09:00:57Z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