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both"/>
        <w:rPr>
          <w:rFonts w:hint="eastAsia" w:ascii="微软雅黑" w:hAnsi="微软雅黑" w:eastAsia="微软雅黑" w:cs="微软雅黑"/>
          <w:i w:val="0"/>
          <w:caps w:val="0"/>
          <w:color w:val="000000"/>
          <w:spacing w:val="0"/>
          <w:sz w:val="28"/>
          <w:szCs w:val="28"/>
          <w:shd w:val="clear" w:color="auto" w:fill="FFFFFF"/>
          <w:lang w:val="en-US" w:eastAsia="zh-CN"/>
        </w:rPr>
      </w:pPr>
      <w:r>
        <w:rPr>
          <w:rFonts w:hint="eastAsia" w:ascii="微软雅黑" w:hAnsi="微软雅黑" w:eastAsia="微软雅黑" w:cs="微软雅黑"/>
          <w:i w:val="0"/>
          <w:caps w:val="0"/>
          <w:color w:val="000000"/>
          <w:spacing w:val="0"/>
          <w:sz w:val="28"/>
          <w:szCs w:val="28"/>
          <w:shd w:val="clear" w:color="auto" w:fill="FFFFFF"/>
          <w:lang w:val="en-US" w:eastAsia="zh-CN"/>
        </w:rPr>
        <w:t>附件1</w:t>
      </w:r>
    </w:p>
    <w:p>
      <w:pPr>
        <w:pStyle w:val="2"/>
        <w:ind w:left="0" w:leftChars="0" w:firstLine="2530" w:firstLineChars="900"/>
        <w:jc w:val="both"/>
        <w:rPr>
          <w:rFonts w:hint="default" w:ascii="微软雅黑" w:hAnsi="微软雅黑" w:eastAsia="微软雅黑" w:cs="微软雅黑"/>
          <w:i w:val="0"/>
          <w:caps w:val="0"/>
          <w:color w:val="000000"/>
          <w:spacing w:val="0"/>
          <w:sz w:val="28"/>
          <w:szCs w:val="28"/>
          <w:shd w:val="clear" w:color="auto" w:fill="FFFFFF"/>
          <w:lang w:val="en-US" w:eastAsia="zh-CN"/>
        </w:rPr>
      </w:pPr>
      <w:r>
        <w:rPr>
          <w:rFonts w:hint="eastAsia" w:ascii="宋体" w:hAnsi="宋体" w:eastAsia="宋体" w:cs="宋体"/>
          <w:b/>
          <w:bCs/>
          <w:i w:val="0"/>
          <w:caps w:val="0"/>
          <w:color w:val="000000"/>
          <w:spacing w:val="0"/>
          <w:sz w:val="28"/>
          <w:szCs w:val="28"/>
          <w:shd w:val="clear" w:color="auto" w:fill="FFFFFF"/>
          <w:lang w:val="en-US" w:eastAsia="zh-CN"/>
        </w:rPr>
        <w:t>开学初各教学工作进度表</w:t>
      </w:r>
    </w:p>
    <w:tbl>
      <w:tblPr>
        <w:tblStyle w:val="5"/>
        <w:tblW w:w="83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1"/>
        <w:gridCol w:w="2680"/>
        <w:gridCol w:w="259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vertAlign w:val="baseline"/>
                <w:lang w:val="en-US" w:eastAsia="zh-CN"/>
              </w:rPr>
            </w:pPr>
            <w:r>
              <w:rPr>
                <w:rFonts w:hint="eastAsia" w:ascii="宋体" w:hAnsi="宋体" w:cs="宋体"/>
                <w:b/>
                <w:sz w:val="24"/>
              </w:rPr>
              <w:t>完成时间</w:t>
            </w:r>
          </w:p>
        </w:tc>
        <w:tc>
          <w:tcPr>
            <w:tcW w:w="268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vertAlign w:val="baseline"/>
                <w:lang w:val="en-US" w:eastAsia="zh-CN"/>
              </w:rPr>
            </w:pPr>
            <w:r>
              <w:rPr>
                <w:rFonts w:hint="eastAsia" w:ascii="宋体" w:hAnsi="宋体" w:cs="宋体"/>
                <w:b/>
                <w:sz w:val="24"/>
              </w:rPr>
              <w:t>完成内容</w:t>
            </w:r>
          </w:p>
        </w:tc>
        <w:tc>
          <w:tcPr>
            <w:tcW w:w="259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s="宋体"/>
                <w:b/>
                <w:sz w:val="24"/>
                <w:lang w:val="en-US" w:eastAsia="zh-CN"/>
              </w:rPr>
            </w:pPr>
            <w:r>
              <w:rPr>
                <w:rFonts w:hint="eastAsia" w:ascii="宋体" w:hAnsi="宋体" w:cs="宋体"/>
                <w:b/>
                <w:sz w:val="24"/>
                <w:lang w:val="en-US" w:eastAsia="zh-CN"/>
              </w:rPr>
              <w:t>完成要求</w:t>
            </w:r>
          </w:p>
        </w:tc>
        <w:tc>
          <w:tcPr>
            <w:tcW w:w="1260" w:type="dxa"/>
            <w:vAlign w:val="top"/>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vertAlign w:val="baseline"/>
                <w:lang w:val="en-US" w:eastAsia="zh-CN"/>
              </w:rPr>
            </w:pPr>
            <w:r>
              <w:rPr>
                <w:rFonts w:hint="eastAsia" w:ascii="宋体" w:hAnsi="宋体" w:cs="宋体"/>
                <w:b/>
                <w:sz w:val="24"/>
                <w:lang w:val="en-US" w:eastAsia="zh-CN"/>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2月20日前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核对本学期开课计划（附件2）</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重点关注：有无漏开课程，课程的修课方式（必修、模块、选修课）及课程的课号、周学时、学期总学时、学分等是否与培养方案一致。</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钟碧芬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2月20日前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核对教师与班级课表</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各教学单位务必认真检查、核对班级课表、教师课表，如发现有错开、漏开的课程，或课表中任课教师、上课时间、上课地点冲突等问题及时纠正。</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钟碧芬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2月20日前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核对选课汇总表</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避免出现错选漏选情况</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钟碧芬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2月20日（周二10:00-17:00)</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教材的审核与发放</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务必确保上课前教师、学生教材全部到位；</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鄞州校区：5号楼体育馆内的武术馆</w:t>
            </w:r>
            <w:r>
              <w:rPr>
                <w:rFonts w:hint="eastAsia" w:ascii="仿宋" w:hAnsi="仿宋" w:eastAsia="仿宋" w:cs="仿宋"/>
                <w:sz w:val="24"/>
                <w:szCs w:val="24"/>
                <w:lang w:val="en-US" w:eastAsia="zh-CN"/>
              </w:rPr>
              <w:t>；</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奉化校区自行发放；</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2月20日前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落实教室及实训室设施设备</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上交实训室自查表</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毛成波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2月26日前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上交混合式课程运行报告</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2023-2024学年第一学期开展混合式教学的老师需提交相应混合式课程运行报告，运行报告需包含混合式课程开展情况、学情分析及推广应用计划的实施情况等（数据分析需配截图）</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rPr>
              <w:t>宋轶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color w:val="auto"/>
                <w:sz w:val="24"/>
                <w:szCs w:val="24"/>
                <w:lang w:val="en-US" w:eastAsia="zh-CN"/>
              </w:rPr>
              <w:t>2月27日前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做好学期补考安排</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务必通知到每一个需要补考（含缓考）同学，并做好相关记录。</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王春临</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2月27日前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完成外聘教师教学管理、教学规范培训工作</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kern w:val="2"/>
                <w:sz w:val="24"/>
                <w:szCs w:val="24"/>
                <w:lang w:val="en-US" w:eastAsia="zh-CN" w:bidi="ar-SA"/>
              </w:rPr>
            </w:pP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兼职教师人数及课时总量占学院总授课人数和总课时的比例均达到23%以上。</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钟碧芬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3月1日前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做好因特殊原因退改选工作</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如因课程补考后仍不及格须重修可延迟至</w:t>
            </w:r>
            <w:r>
              <w:rPr>
                <w:rFonts w:hint="eastAsia" w:ascii="仿宋" w:hAnsi="仿宋" w:eastAsia="仿宋" w:cs="仿宋"/>
                <w:color w:val="000000" w:themeColor="text1"/>
                <w:sz w:val="24"/>
                <w:szCs w:val="24"/>
                <w:lang w:val="en-US" w:eastAsia="zh-CN"/>
                <w14:textFill>
                  <w14:solidFill>
                    <w14:schemeClr w14:val="tx1"/>
                  </w14:solidFill>
                </w14:textFill>
              </w:rPr>
              <w:t>第六周周五（3月8日）</w:t>
            </w:r>
            <w:r>
              <w:rPr>
                <w:rFonts w:hint="eastAsia" w:ascii="仿宋" w:hAnsi="仿宋" w:eastAsia="仿宋" w:cs="仿宋"/>
                <w:sz w:val="24"/>
                <w:szCs w:val="24"/>
                <w:lang w:val="en-US" w:eastAsia="zh-CN"/>
              </w:rPr>
              <w:t>前</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钟碧芬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3月12日前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做好本学期课程考核方式统计工作</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1.课程考核分为平时过程性考核、期末终结性考核，每门课程考核类型均在课程标准中予以明确。</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2.除选修课及毕业论文、毕业实习、顶岗实习等毕业环节的课程外，其他课程均纳入学校统排考范围。</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3.必修与必选课须设置期末考核环节，不能将过程性考核作为最终课程考核结果，考核方式可以为卷面考、机考、组合考等形式；公共选修课考核形式，可以由各教学单位决定。</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4.同一课程（课号前7位相同），必须采取相同的考核形式、相同的题目且共同评卷。</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5.理实一体、纯实践类课程均需进行期末实践性考核，如学生作品、综合性方案设计、实践性操作等形式，每门课程均要具备详细可操作性的评分评价标准。</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3月8日前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做好有关教学档案上传工作</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在教务系统填写</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钟碧芬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3月2日</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向学生公布最终选课汇总表</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由学生签字后存档，同时将本学院所开课程的选课学生名单打印发给任课教师留档。</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钟碧芬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3月15日前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完成免听、部分免听学生申请审批办理工作</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将学生的修课方式输入教务系统。</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3月11日开始审核</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2023届学生毕业资格预审</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期初重点审查毕业生公共选修课、专业选修课、体育课（体测）、技能证书等是否已达到毕业要求，如未达到的，督促学生本学期及时进行重修，各教学单位形成学业指导方案或重修方案。</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仿宋" w:hAnsi="仿宋" w:eastAsia="仿宋" w:cs="仿宋"/>
                <w:sz w:val="24"/>
                <w:szCs w:val="24"/>
                <w:lang w:eastAsia="zh-CN"/>
              </w:rPr>
            </w:pPr>
            <w:r>
              <w:rPr>
                <w:rFonts w:hint="default" w:ascii="仿宋" w:hAnsi="仿宋" w:eastAsia="仿宋" w:cs="仿宋"/>
                <w:sz w:val="24"/>
                <w:szCs w:val="24"/>
                <w:lang w:eastAsia="zh-CN"/>
              </w:rPr>
              <w:t>孔海丽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3月11日</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做好退学预警工作</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达到退学警告条件的学生名单以书面形式报教务处，具体名单可在教务系统中的“学籍管理-学业预警-预警查询”中查看。</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仿宋" w:hAnsi="仿宋" w:eastAsia="仿宋" w:cs="仿宋"/>
                <w:sz w:val="24"/>
                <w:szCs w:val="24"/>
                <w:lang w:eastAsia="zh-CN"/>
              </w:rPr>
            </w:pPr>
            <w:r>
              <w:rPr>
                <w:rFonts w:hint="default" w:ascii="仿宋" w:hAnsi="仿宋" w:eastAsia="仿宋" w:cs="仿宋"/>
                <w:sz w:val="24"/>
                <w:szCs w:val="24"/>
                <w:lang w:eastAsia="zh-CN"/>
              </w:rPr>
              <w:t>孔海丽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每周一下班前</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做好2024届毕业生顶岗实习工作（附件4）</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集中实习比例不低于80%；3月15日</w:t>
            </w:r>
            <w:r>
              <w:rPr>
                <w:rFonts w:hint="eastAsia" w:ascii="仿宋" w:hAnsi="仿宋" w:eastAsia="仿宋" w:cs="仿宋"/>
                <w:sz w:val="24"/>
                <w:szCs w:val="24"/>
                <w:lang w:val="en-US" w:eastAsia="zh-Hans"/>
              </w:rPr>
              <w:t>前将三方协议上传到毕业综合实践平台</w:t>
            </w:r>
            <w:r>
              <w:rPr>
                <w:rFonts w:hint="eastAsia" w:ascii="仿宋" w:hAnsi="仿宋" w:eastAsia="仿宋" w:cs="仿宋"/>
                <w:sz w:val="24"/>
                <w:szCs w:val="24"/>
                <w:lang w:val="en-US" w:eastAsia="zh-CN"/>
              </w:rPr>
              <w:t>；校内指导教师在第1周内联系指导学生至少2次；</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丁大朋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color w:val="000000" w:themeColor="text1"/>
                <w:sz w:val="24"/>
                <w:szCs w:val="24"/>
                <w:lang w:val="en-US" w:eastAsia="zh-CN"/>
                <w14:textFill>
                  <w14:solidFill>
                    <w14:schemeClr w14:val="tx1"/>
                  </w14:solidFill>
                </w14:textFill>
              </w:rPr>
              <w:t>开学后五周内</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教学单位安排专人对本单位教师资料进行专项自查检查（附件5）</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教学资料、教研活动、上学期期末考试、实践教学及教学异常等情况</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钟碧芬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第6周-第8周</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做好上学期教学活动专项检查</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重点检查上学期课程标准落实情况、课程考核过程材料归档情况及课程思政“学、评、议、辨”教研活动资料。</w:t>
            </w:r>
          </w:p>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钟碧芬、徐海兰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1"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整个学期</w:t>
            </w:r>
          </w:p>
        </w:tc>
        <w:tc>
          <w:tcPr>
            <w:tcW w:w="268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lang w:val="en-US" w:eastAsia="zh-CN"/>
              </w:rPr>
            </w:pPr>
            <w:r>
              <w:rPr>
                <w:rFonts w:hint="eastAsia"/>
                <w:lang w:val="en-US" w:eastAsia="zh-CN"/>
              </w:rPr>
              <w:t>日常教学秩序检查</w:t>
            </w:r>
          </w:p>
          <w:p>
            <w:pPr>
              <w:pStyle w:val="2"/>
              <w:rPr>
                <w:rFonts w:hint="default" w:eastAsia="仿宋"/>
                <w:lang w:val="en-US" w:eastAsia="zh-CN"/>
              </w:rPr>
            </w:pPr>
            <w:r>
              <w:rPr>
                <w:rFonts w:hint="eastAsia" w:ascii="仿宋" w:hAnsi="仿宋" w:eastAsia="仿宋" w:cs="仿宋"/>
                <w:sz w:val="24"/>
                <w:szCs w:val="24"/>
                <w:lang w:val="en-US" w:eastAsia="zh-CN"/>
              </w:rPr>
              <w:t>(附件7）</w:t>
            </w:r>
          </w:p>
        </w:tc>
        <w:tc>
          <w:tcPr>
            <w:tcW w:w="259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具体见《关于做好2023-2024学年第二学期教学秩序检查工作的通知》</w:t>
            </w:r>
          </w:p>
        </w:tc>
        <w:tc>
          <w:tcPr>
            <w:tcW w:w="1260" w:type="dxa"/>
            <w:vAlign w:val="top"/>
          </w:tcPr>
          <w:p>
            <w:pPr>
              <w:keepNext w:val="0"/>
              <w:keepLines w:val="0"/>
              <w:pageBreakBefore w:val="0"/>
              <w:widowControl w:val="0"/>
              <w:kinsoku/>
              <w:wordWrap/>
              <w:overflowPunct/>
              <w:topLinePunct w:val="0"/>
              <w:autoSpaceDE/>
              <w:autoSpaceDN/>
              <w:bidi w:val="0"/>
              <w:adjustRightInd/>
              <w:spacing w:line="24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钟碧芬</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hNzg4Y2RmOGYyZGRjNTIxMzUyYzQ0MjgzZmJlNjkifQ=="/>
  </w:docVars>
  <w:rsids>
    <w:rsidRoot w:val="6B760FB4"/>
    <w:rsid w:val="06F6094D"/>
    <w:rsid w:val="1CBE1ABB"/>
    <w:rsid w:val="22323BCB"/>
    <w:rsid w:val="273F5923"/>
    <w:rsid w:val="38646E5B"/>
    <w:rsid w:val="398F2156"/>
    <w:rsid w:val="42F862E8"/>
    <w:rsid w:val="49E70380"/>
    <w:rsid w:val="4B587AC5"/>
    <w:rsid w:val="4D657C87"/>
    <w:rsid w:val="528F787E"/>
    <w:rsid w:val="56235088"/>
    <w:rsid w:val="58806990"/>
    <w:rsid w:val="5A581419"/>
    <w:rsid w:val="694A5C72"/>
    <w:rsid w:val="6B760FB4"/>
    <w:rsid w:val="7C770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qFormat/>
    <w:uiPriority w:val="0"/>
    <w:pPr>
      <w:ind w:firstLine="420" w:firstLineChars="100"/>
    </w:pPr>
  </w:style>
  <w:style w:type="paragraph" w:styleId="3">
    <w:name w:val="Body Text"/>
    <w:basedOn w:val="1"/>
    <w:autoRedefine/>
    <w:qFormat/>
    <w:uiPriority w:val="0"/>
    <w:pPr>
      <w:spacing w:after="120" w:afterLines="0" w:afterAutospacing="0"/>
    </w:p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1449</Words>
  <Characters>1511</Characters>
  <Lines>0</Lines>
  <Paragraphs>0</Paragraphs>
  <TotalTime>13</TotalTime>
  <ScaleCrop>false</ScaleCrop>
  <LinksUpToDate>false</LinksUpToDate>
  <CharactersWithSpaces>1511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2023-02-12T08:51:00Z</dcterms:created>
  <dc:creator>Administrator</dc:creator>
  <cp:lastModifiedBy>Administrator</cp:lastModifiedBy>
  <dcterms:modified xsi:type="dcterms:W3CDTF">2024-02-19T01:00:33Z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67E7241D592F40E69B85CDAA4420A7ED</vt:lpwstr>
  </property>
</Properties>
</file>